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仿宋_GB2312" w:hAnsi="仿宋_GB2312" w:eastAsia="仿宋_GB2312" w:cs="仿宋_GB2312"/>
          <w:sz w:val="32"/>
          <w:szCs w:val="32"/>
          <w:lang w:val="en-US" w:eastAsia="zh-CN"/>
        </w:rPr>
      </w:pPr>
      <w:bookmarkStart w:id="0" w:name="_Toc22134"/>
    </w:p>
    <w:p>
      <w:pPr>
        <w:spacing w:line="360" w:lineRule="auto"/>
        <w:jc w:val="center"/>
        <w:outlineLvl w:val="0"/>
        <w:rPr>
          <w:rFonts w:hint="eastAsia" w:ascii="仿宋_GB2312" w:hAnsi="仿宋_GB2312" w:eastAsia="仿宋_GB2312" w:cs="仿宋_GB2312"/>
          <w:sz w:val="32"/>
          <w:szCs w:val="32"/>
          <w:lang w:val="en-US" w:eastAsia="zh-CN"/>
        </w:rPr>
      </w:pPr>
    </w:p>
    <w:p>
      <w:pPr>
        <w:spacing w:line="360" w:lineRule="auto"/>
        <w:jc w:val="center"/>
        <w:outlineLvl w:val="0"/>
        <w:rPr>
          <w:rFonts w:hint="eastAsia" w:ascii="仿宋_GB2312" w:hAnsi="仿宋_GB2312" w:eastAsia="仿宋_GB2312" w:cs="仿宋_GB2312"/>
          <w:sz w:val="32"/>
          <w:szCs w:val="32"/>
          <w:lang w:val="en-US" w:eastAsia="zh-CN"/>
        </w:rPr>
      </w:pPr>
    </w:p>
    <w:p>
      <w:pPr>
        <w:spacing w:line="360" w:lineRule="auto"/>
        <w:jc w:val="center"/>
        <w:outlineLvl w:val="0"/>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lang w:val="en-US" w:eastAsia="zh-CN"/>
        </w:rPr>
        <w:t>2022年度</w:t>
      </w:r>
      <w:r>
        <w:rPr>
          <w:rFonts w:hint="eastAsia" w:ascii="方正小标宋简体" w:hAnsi="方正小标宋简体" w:eastAsia="方正小标宋简体" w:cs="方正小标宋简体"/>
          <w:sz w:val="48"/>
          <w:szCs w:val="48"/>
          <w:lang w:eastAsia="zh-CN"/>
        </w:rPr>
        <w:t>部门</w:t>
      </w:r>
      <w:r>
        <w:rPr>
          <w:rFonts w:hint="eastAsia" w:ascii="方正小标宋简体" w:hAnsi="方正小标宋简体" w:eastAsia="方正小标宋简体" w:cs="方正小标宋简体"/>
          <w:sz w:val="48"/>
          <w:szCs w:val="48"/>
        </w:rPr>
        <w:t>整体</w:t>
      </w:r>
      <w:r>
        <w:rPr>
          <w:rFonts w:hint="eastAsia" w:ascii="方正小标宋简体" w:hAnsi="方正小标宋简体" w:eastAsia="方正小标宋简体" w:cs="方正小标宋简体"/>
          <w:sz w:val="48"/>
          <w:szCs w:val="48"/>
          <w:lang w:eastAsia="zh-CN"/>
        </w:rPr>
        <w:t>支出</w:t>
      </w:r>
      <w:r>
        <w:rPr>
          <w:rFonts w:hint="eastAsia" w:ascii="方正小标宋简体" w:hAnsi="方正小标宋简体" w:eastAsia="方正小标宋简体" w:cs="方正小标宋简体"/>
          <w:sz w:val="48"/>
          <w:szCs w:val="48"/>
        </w:rPr>
        <w:t>绩效自评报告</w:t>
      </w:r>
      <w:bookmarkEnd w:id="0"/>
    </w:p>
    <w:p>
      <w:pPr>
        <w:spacing w:line="360" w:lineRule="auto"/>
        <w:ind w:firstLine="480" w:firstLineChars="150"/>
        <w:rPr>
          <w:rFonts w:hint="eastAsia" w:ascii="仿宋_GB2312" w:hAnsi="仿宋_GB2312" w:eastAsia="仿宋_GB2312" w:cs="仿宋_GB2312"/>
          <w:sz w:val="32"/>
          <w:szCs w:val="32"/>
        </w:rPr>
      </w:pPr>
    </w:p>
    <w:p>
      <w:pPr>
        <w:spacing w:line="360" w:lineRule="auto"/>
        <w:ind w:firstLine="480" w:firstLineChars="150"/>
        <w:rPr>
          <w:rFonts w:hint="eastAsia" w:ascii="仿宋_GB2312" w:hAnsi="仿宋_GB2312" w:eastAsia="仿宋_GB2312" w:cs="仿宋_GB2312"/>
          <w:sz w:val="32"/>
          <w:szCs w:val="32"/>
        </w:rPr>
      </w:pPr>
    </w:p>
    <w:p>
      <w:pPr>
        <w:spacing w:line="360" w:lineRule="auto"/>
        <w:ind w:firstLine="480" w:firstLineChars="150"/>
        <w:rPr>
          <w:rFonts w:hint="eastAsia" w:ascii="仿宋_GB2312" w:hAnsi="仿宋_GB2312" w:eastAsia="仿宋_GB2312" w:cs="仿宋_GB2312"/>
          <w:sz w:val="32"/>
          <w:szCs w:val="32"/>
        </w:rPr>
      </w:pPr>
    </w:p>
    <w:p>
      <w:pPr>
        <w:spacing w:line="360" w:lineRule="auto"/>
        <w:ind w:firstLine="480" w:firstLineChars="150"/>
        <w:rPr>
          <w:rFonts w:hint="eastAsia" w:ascii="仿宋_GB2312" w:hAnsi="仿宋_GB2312" w:eastAsia="仿宋_GB2312" w:cs="仿宋_GB2312"/>
          <w:sz w:val="32"/>
          <w:szCs w:val="32"/>
        </w:rPr>
      </w:pPr>
    </w:p>
    <w:p>
      <w:pPr>
        <w:spacing w:line="360" w:lineRule="auto"/>
        <w:ind w:firstLine="480" w:firstLineChars="150"/>
        <w:rPr>
          <w:rFonts w:hint="eastAsia" w:ascii="仿宋_GB2312" w:hAnsi="仿宋_GB2312" w:eastAsia="仿宋_GB2312" w:cs="仿宋_GB2312"/>
          <w:sz w:val="32"/>
          <w:szCs w:val="32"/>
        </w:rPr>
      </w:pPr>
    </w:p>
    <w:p>
      <w:pPr>
        <w:spacing w:line="360" w:lineRule="auto"/>
        <w:ind w:firstLine="480" w:firstLineChars="150"/>
        <w:rPr>
          <w:rFonts w:hint="eastAsia" w:ascii="仿宋_GB2312" w:hAnsi="仿宋_GB2312" w:eastAsia="仿宋_GB2312" w:cs="仿宋_GB2312"/>
          <w:sz w:val="32"/>
          <w:szCs w:val="32"/>
        </w:rPr>
      </w:pPr>
    </w:p>
    <w:p>
      <w:pPr>
        <w:spacing w:line="360" w:lineRule="auto"/>
        <w:ind w:firstLine="480" w:firstLineChars="150"/>
        <w:rPr>
          <w:rFonts w:hint="eastAsia" w:ascii="仿宋_GB2312" w:hAnsi="仿宋_GB2312" w:eastAsia="仿宋_GB2312" w:cs="仿宋_GB2312"/>
          <w:sz w:val="32"/>
          <w:szCs w:val="32"/>
        </w:rPr>
      </w:pPr>
    </w:p>
    <w:p>
      <w:pPr>
        <w:spacing w:line="360" w:lineRule="auto"/>
        <w:ind w:firstLine="480" w:firstLineChars="150"/>
        <w:rPr>
          <w:rFonts w:hint="eastAsia" w:ascii="仿宋_GB2312" w:hAnsi="仿宋_GB2312" w:eastAsia="仿宋_GB2312" w:cs="仿宋_GB2312"/>
          <w:sz w:val="32"/>
          <w:szCs w:val="32"/>
        </w:rPr>
      </w:pPr>
    </w:p>
    <w:p>
      <w:pPr>
        <w:spacing w:line="360" w:lineRule="auto"/>
        <w:ind w:firstLine="480" w:firstLineChars="150"/>
        <w:rPr>
          <w:rFonts w:hint="eastAsia" w:ascii="仿宋_GB2312" w:hAnsi="仿宋_GB2312" w:eastAsia="仿宋_GB2312" w:cs="仿宋_GB2312"/>
          <w:sz w:val="32"/>
          <w:szCs w:val="32"/>
        </w:rPr>
      </w:pPr>
    </w:p>
    <w:p>
      <w:pPr>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napToGrid w:val="0"/>
        <w:spacing w:beforeLines="0" w:afterLines="0" w:line="360" w:lineRule="auto"/>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部门名称：广东省海洋综合执法总队</w:t>
      </w:r>
    </w:p>
    <w:p>
      <w:pPr>
        <w:snapToGrid w:val="0"/>
        <w:spacing w:beforeLines="0" w:afterLines="0" w:line="360" w:lineRule="auto"/>
        <w:ind w:firstLine="1600" w:firstLineChars="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预算单位数量：</w:t>
      </w:r>
      <w:r>
        <w:rPr>
          <w:rFonts w:hint="eastAsia" w:ascii="仿宋_GB2312" w:hAnsi="仿宋_GB2312" w:eastAsia="仿宋_GB2312" w:cs="仿宋_GB2312"/>
          <w:sz w:val="32"/>
          <w:szCs w:val="32"/>
          <w:lang w:val="en-US" w:eastAsia="zh-CN"/>
        </w:rPr>
        <w:t>4</w:t>
      </w:r>
      <w:bookmarkStart w:id="64" w:name="_GoBack"/>
      <w:bookmarkEnd w:id="64"/>
      <w:r>
        <w:rPr>
          <w:rFonts w:hint="eastAsia" w:ascii="仿宋_GB2312" w:hAnsi="仿宋_GB2312" w:eastAsia="仿宋_GB2312" w:cs="仿宋_GB2312"/>
          <w:sz w:val="32"/>
          <w:szCs w:val="32"/>
          <w:lang w:val="en-US" w:eastAsia="zh-CN"/>
        </w:rPr>
        <w:t>个</w:t>
      </w:r>
    </w:p>
    <w:p>
      <w:pPr>
        <w:snapToGrid w:val="0"/>
        <w:spacing w:beforeLines="0" w:afterLines="0" w:line="360" w:lineRule="auto"/>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填报人：</w:t>
      </w:r>
    </w:p>
    <w:p>
      <w:pPr>
        <w:snapToGrid w:val="0"/>
        <w:spacing w:beforeLines="0" w:afterLines="0" w:line="360" w:lineRule="auto"/>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p>
    <w:p>
      <w:pPr>
        <w:snapToGrid w:val="0"/>
        <w:spacing w:beforeLines="0" w:afterLines="0" w:line="360" w:lineRule="auto"/>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填报日期：</w:t>
      </w:r>
      <w:r>
        <w:rPr>
          <w:rFonts w:hint="eastAsia" w:ascii="仿宋_GB2312" w:hAnsi="仿宋_GB2312" w:eastAsia="仿宋_GB2312" w:cs="仿宋_GB2312"/>
          <w:sz w:val="32"/>
          <w:szCs w:val="32"/>
          <w:lang w:val="en-US" w:eastAsia="zh-CN"/>
        </w:rPr>
        <w:t>2023年6月30日</w:t>
      </w:r>
    </w:p>
    <w:p>
      <w:pPr>
        <w:keepNext w:val="0"/>
        <w:keepLines w:val="0"/>
        <w:pageBreakBefore w:val="0"/>
        <w:kinsoku/>
        <w:wordWrap/>
        <w:overflowPunct/>
        <w:topLinePunct w:val="0"/>
        <w:autoSpaceDE/>
        <w:autoSpaceDN/>
        <w:bidi w:val="0"/>
        <w:adjustRightInd/>
        <w:snapToGrid w:val="0"/>
        <w:spacing w:beforeLines="0" w:afterLines="0" w:line="240" w:lineRule="auto"/>
        <w:textAlignment w:val="auto"/>
        <w:rPr>
          <w:rFonts w:hint="eastAsia" w:ascii="仿宋_GB2312" w:hAnsi="仿宋_GB2312" w:eastAsia="仿宋_GB2312" w:cs="仿宋_GB2312"/>
          <w:bCs/>
          <w:sz w:val="30"/>
          <w:szCs w:val="30"/>
        </w:rPr>
      </w:pP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br w:type="page"/>
      </w:r>
    </w:p>
    <w:p>
      <w:pPr>
        <w:pStyle w:val="2"/>
        <w:rPr>
          <w:rFonts w:hint="eastAsia" w:ascii="仿宋_GB2312" w:hAnsi="仿宋_GB2312" w:eastAsia="仿宋_GB2312" w:cs="仿宋_GB2312"/>
          <w:sz w:val="30"/>
          <w:szCs w:val="30"/>
        </w:rPr>
      </w:pPr>
    </w:p>
    <w:p>
      <w:pPr>
        <w:keepNext w:val="0"/>
        <w:keepLines w:val="0"/>
        <w:pageBreakBefore w:val="0"/>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center"/>
        <w:textAlignment w:val="auto"/>
        <w:rPr>
          <w:rFonts w:hint="eastAsia" w:ascii="仿宋_GB2312" w:hAnsi="仿宋_GB2312" w:eastAsia="仿宋_GB2312" w:cs="仿宋_GB2312"/>
          <w:b/>
          <w:bCs/>
          <w:kern w:val="2"/>
          <w:sz w:val="30"/>
          <w:szCs w:val="30"/>
          <w:lang w:val="en-US" w:eastAsia="zh-CN" w:bidi="ar-SA"/>
        </w:rPr>
        <w:sectPr>
          <w:pgSz w:w="11906" w:h="16838"/>
          <w:pgMar w:top="1871" w:right="1531" w:bottom="1871" w:left="1531" w:header="851" w:footer="1417" w:gutter="0"/>
          <w:pgNumType w:fmt="decimal"/>
          <w:cols w:space="0" w:num="1"/>
          <w:rtlGutter w:val="0"/>
          <w:docGrid w:type="lines" w:linePitch="312" w:charSpace="0"/>
        </w:sectPr>
      </w:pPr>
    </w:p>
    <w:sdt>
      <w:sdtPr>
        <w:rPr>
          <w:rFonts w:hint="eastAsia" w:ascii="黑体" w:hAnsi="黑体" w:eastAsia="黑体" w:cs="黑体"/>
          <w:kern w:val="2"/>
          <w:sz w:val="36"/>
          <w:szCs w:val="36"/>
          <w:lang w:val="en-US" w:eastAsia="zh-CN" w:bidi="ar-SA"/>
        </w:rPr>
        <w:id w:val="147464444"/>
        <w15:color w:val="DBDBDB"/>
      </w:sdtPr>
      <w:sdtEndPr>
        <w:rPr>
          <w:rFonts w:hint="eastAsia" w:ascii="仿宋_GB2312" w:hAnsi="仿宋_GB2312" w:eastAsia="仿宋_GB2312" w:cs="仿宋_GB2312"/>
          <w:kern w:val="2"/>
          <w:sz w:val="30"/>
          <w:szCs w:val="30"/>
          <w:lang w:val="en-US" w:eastAsia="zh-CN" w:bidi="ar-SA"/>
        </w:rPr>
      </w:sdtEndPr>
      <w:sdtContent>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录</w:t>
          </w:r>
        </w:p>
        <w:p>
          <w:pPr>
            <w:pStyle w:val="2"/>
            <w:rPr>
              <w:rFonts w:hint="eastAsia"/>
            </w:rPr>
          </w:pPr>
        </w:p>
        <w:p>
          <w:pPr>
            <w:pStyle w:val="10"/>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"1-3" \h \u </w:instrText>
          </w:r>
          <w:r>
            <w:rPr>
              <w:rFonts w:hint="eastAsia" w:ascii="仿宋_GB2312" w:hAnsi="仿宋_GB2312" w:eastAsia="仿宋_GB2312" w:cs="仿宋_GB2312"/>
              <w:sz w:val="28"/>
              <w:szCs w:val="28"/>
            </w:rPr>
            <w:fldChar w:fldCharType="separate"/>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_Toc6390 </w:instrText>
          </w:r>
          <w:r>
            <w:rPr>
              <w:rFonts w:hint="eastAsia" w:ascii="黑体" w:hAnsi="黑体" w:eastAsia="黑体" w:cs="黑体"/>
              <w:sz w:val="28"/>
              <w:szCs w:val="28"/>
            </w:rPr>
            <w:fldChar w:fldCharType="separate"/>
          </w:r>
          <w:r>
            <w:rPr>
              <w:rFonts w:hint="eastAsia" w:ascii="黑体" w:hAnsi="黑体" w:eastAsia="黑体" w:cs="黑体"/>
              <w:bCs/>
              <w:sz w:val="28"/>
              <w:szCs w:val="28"/>
            </w:rPr>
            <w:t>一、部门基本情况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_Toc6390 \h </w:instrText>
          </w:r>
          <w:r>
            <w:rPr>
              <w:rFonts w:hint="eastAsia" w:ascii="黑体" w:hAnsi="黑体" w:eastAsia="黑体" w:cs="黑体"/>
              <w:sz w:val="28"/>
              <w:szCs w:val="28"/>
            </w:rPr>
            <w:fldChar w:fldCharType="separate"/>
          </w:r>
          <w:r>
            <w:rPr>
              <w:rFonts w:hint="eastAsia" w:ascii="黑体" w:hAnsi="黑体" w:eastAsia="黑体" w:cs="黑体"/>
              <w:sz w:val="28"/>
              <w:szCs w:val="28"/>
            </w:rPr>
            <w:t>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HYPERLINK \l _Toc175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bCs/>
              <w:sz w:val="28"/>
              <w:szCs w:val="28"/>
            </w:rPr>
            <w:t>（一）部门职能</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_Toc175 \h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1</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_Toc24522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1. 主要职责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_Toc24522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_Toc21459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2. 机构和人员情况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_Toc21459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HYPERLINK \l _Toc1817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bCs/>
              <w:sz w:val="28"/>
              <w:szCs w:val="28"/>
            </w:rPr>
            <w:t>（二） 年度总体工作和重点工作任务</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_Toc1817 \h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3</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_Toc13522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1. 年度总体工作</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_Toc13522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_Toc13303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2. 年度重点工作任务</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_Toc13303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HYPERLINK \l _Toc16588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bCs/>
              <w:sz w:val="28"/>
              <w:szCs w:val="28"/>
            </w:rPr>
            <w:t>（三） 部门整体支出绩效目标</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_Toc16588 \h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5</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_Toc20980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1. 绩效总目标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_Toc20980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_Toc13365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2. 具体绩效指标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_Toc13365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HYPERLINK \l _Toc22069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bCs/>
              <w:sz w:val="28"/>
              <w:szCs w:val="28"/>
              <w:lang w:eastAsia="zh-CN"/>
            </w:rPr>
            <w:t xml:space="preserve">（四） </w:t>
          </w:r>
          <w:r>
            <w:rPr>
              <w:rFonts w:hint="eastAsia" w:ascii="CESI楷体-GB2312" w:hAnsi="CESI楷体-GB2312" w:eastAsia="CESI楷体-GB2312" w:cs="CESI楷体-GB2312"/>
              <w:bCs/>
              <w:sz w:val="28"/>
              <w:szCs w:val="28"/>
            </w:rPr>
            <w:t>部门整体支出情况</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_Toc22069 \h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7</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_Toc14364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1. 部门总体收入情况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_Toc14364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_Toc5153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bCs/>
              <w:sz w:val="28"/>
              <w:szCs w:val="28"/>
              <w:lang w:val="en-US" w:eastAsia="zh-CN"/>
            </w:rPr>
            <w:t>2. 部门整体支出情况</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_Toc5153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_Toc11928 </w:instrText>
          </w:r>
          <w:r>
            <w:rPr>
              <w:rFonts w:hint="eastAsia" w:ascii="黑体" w:hAnsi="黑体" w:eastAsia="黑体" w:cs="黑体"/>
              <w:sz w:val="28"/>
              <w:szCs w:val="28"/>
            </w:rPr>
            <w:fldChar w:fldCharType="separate"/>
          </w:r>
          <w:r>
            <w:rPr>
              <w:rFonts w:hint="eastAsia" w:ascii="黑体" w:hAnsi="黑体" w:eastAsia="黑体" w:cs="黑体"/>
              <w:bCs/>
              <w:sz w:val="28"/>
              <w:szCs w:val="28"/>
            </w:rPr>
            <w:t>二、绩效自评情况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_Toc11928 \h </w:instrText>
          </w:r>
          <w:r>
            <w:rPr>
              <w:rFonts w:hint="eastAsia" w:ascii="黑体" w:hAnsi="黑体" w:eastAsia="黑体" w:cs="黑体"/>
              <w:sz w:val="28"/>
              <w:szCs w:val="28"/>
            </w:rPr>
            <w:fldChar w:fldCharType="separate"/>
          </w:r>
          <w:r>
            <w:rPr>
              <w:rFonts w:hint="eastAsia" w:ascii="黑体" w:hAnsi="黑体" w:eastAsia="黑体" w:cs="黑体"/>
              <w:sz w:val="28"/>
              <w:szCs w:val="28"/>
            </w:rPr>
            <w:t>8</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HYPERLINK \l _Toc30869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bCs/>
              <w:sz w:val="28"/>
              <w:szCs w:val="28"/>
            </w:rPr>
            <w:t>（一）自评结论</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_Toc30869 \h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8</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HYPERLINK \l _Toc8101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bCs/>
              <w:sz w:val="28"/>
              <w:szCs w:val="28"/>
            </w:rPr>
            <w:t>（二）</w:t>
          </w:r>
          <w:r>
            <w:rPr>
              <w:rFonts w:hint="eastAsia" w:ascii="CESI楷体-GB2312" w:hAnsi="CESI楷体-GB2312" w:eastAsia="CESI楷体-GB2312" w:cs="CESI楷体-GB2312"/>
              <w:bCs/>
              <w:sz w:val="28"/>
              <w:szCs w:val="28"/>
              <w:lang w:val="en-US" w:eastAsia="zh-CN"/>
            </w:rPr>
            <w:t>履职效能</w:t>
          </w:r>
          <w:r>
            <w:rPr>
              <w:rFonts w:hint="eastAsia" w:ascii="CESI楷体-GB2312" w:hAnsi="CESI楷体-GB2312" w:eastAsia="CESI楷体-GB2312" w:cs="CESI楷体-GB2312"/>
              <w:bCs/>
              <w:sz w:val="28"/>
              <w:szCs w:val="28"/>
              <w:lang w:eastAsia="zh-CN"/>
            </w:rPr>
            <w:t>分析</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_Toc8101 \h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9</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_Toc26573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highlight w:val="none"/>
              <w:lang w:val="en-US" w:eastAsia="zh-CN" w:bidi="ar-SA"/>
            </w:rPr>
            <w:t xml:space="preserve">（1） </w:t>
          </w:r>
          <w:r>
            <w:rPr>
              <w:rFonts w:hint="eastAsia" w:ascii="仿宋_GB2312" w:hAnsi="仿宋_GB2312" w:eastAsia="仿宋_GB2312" w:cs="仿宋_GB2312"/>
              <w:kern w:val="2"/>
              <w:sz w:val="28"/>
              <w:szCs w:val="28"/>
              <w:lang w:val="en-US" w:eastAsia="zh-CN" w:bidi="ar-SA"/>
            </w:rPr>
            <w:t>数量指标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_Toc26573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_Toc12800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highlight w:val="none"/>
              <w:lang w:val="en-US" w:eastAsia="zh-CN" w:bidi="ar-SA"/>
            </w:rPr>
            <w:t>（2） 质量指标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_Toc12800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_Toc6996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highlight w:val="none"/>
              <w:lang w:val="en-US" w:eastAsia="zh-CN" w:bidi="ar-SA"/>
            </w:rPr>
            <w:t>（3） 时效指标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_Toc6996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_Toc14271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highlight w:val="none"/>
              <w:lang w:val="en-US" w:eastAsia="zh-CN" w:bidi="ar-SA"/>
            </w:rPr>
            <w:t>（4） 成本指标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_Toc14271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_Toc2237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bidi="ar-SA"/>
            </w:rPr>
            <w:t>（1） 社会效益指标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_Toc2237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_Toc21680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bidi="ar-SA"/>
            </w:rPr>
            <w:t>（2） 生态效益指标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_Toc21680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_Toc24319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bidi="ar-SA"/>
            </w:rPr>
            <w:t>（3） 可持续性效益指标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_Toc24319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_Toc13520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bidi="ar-SA"/>
            </w:rPr>
            <w:t>（4） 服务对象满意度指标</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_Toc13520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HYPERLINK \l _Toc22419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bCs/>
              <w:kern w:val="2"/>
              <w:sz w:val="28"/>
              <w:szCs w:val="28"/>
              <w:lang w:val="en-US" w:eastAsia="zh-CN"/>
            </w:rPr>
            <w:t>（三）管理效率分析</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_Toc22419 \h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15</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_Toc15189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bidi="ar-SA"/>
            </w:rPr>
            <w:t>1、 预算编制</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_Toc15189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_Toc16858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bidi="ar-SA"/>
            </w:rPr>
            <w:t>2、 预算执行</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_Toc16858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_Toc5917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bidi="ar-SA"/>
            </w:rPr>
            <w:t>3、 信息公开</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_Toc5917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_Toc8782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bidi="ar-SA"/>
            </w:rPr>
            <w:t>4、 绩效管理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_Toc8782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_Toc20353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bidi="ar-SA"/>
            </w:rPr>
            <w:t>5、 采购管理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_Toc20353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_Toc19587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bidi="ar-SA"/>
            </w:rPr>
            <w:t>6、 资产管理</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_Toc19587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2"/>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_Toc13535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kern w:val="2"/>
              <w:sz w:val="28"/>
              <w:szCs w:val="28"/>
              <w:lang w:val="en-US" w:eastAsia="zh-CN" w:bidi="ar-SA"/>
            </w:rPr>
            <w:t>7、 运行成本</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_Toc13535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1"/>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CESI楷体-GB2312" w:hAnsi="CESI楷体-GB2312" w:eastAsia="CESI楷体-GB2312" w:cs="CESI楷体-GB2312"/>
              <w:sz w:val="28"/>
              <w:szCs w:val="28"/>
            </w:rPr>
          </w:pP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HYPERLINK \l _Toc22033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bCs/>
              <w:sz w:val="28"/>
              <w:szCs w:val="28"/>
              <w:lang w:val="en-US" w:eastAsia="zh-CN"/>
            </w:rPr>
            <w:t>（四）</w:t>
          </w:r>
          <w:r>
            <w:rPr>
              <w:rFonts w:hint="eastAsia" w:ascii="CESI楷体-GB2312" w:hAnsi="CESI楷体-GB2312" w:eastAsia="CESI楷体-GB2312" w:cs="CESI楷体-GB2312"/>
              <w:bCs/>
              <w:sz w:val="28"/>
              <w:szCs w:val="28"/>
            </w:rPr>
            <w:t>部门整体支出</w:t>
          </w:r>
          <w:r>
            <w:rPr>
              <w:rFonts w:hint="eastAsia" w:ascii="CESI楷体-GB2312" w:hAnsi="CESI楷体-GB2312" w:eastAsia="CESI楷体-GB2312" w:cs="CESI楷体-GB2312"/>
              <w:bCs/>
              <w:sz w:val="28"/>
              <w:szCs w:val="28"/>
              <w:lang w:eastAsia="zh-CN"/>
            </w:rPr>
            <w:t>绩效管理</w:t>
          </w:r>
          <w:r>
            <w:rPr>
              <w:rFonts w:hint="eastAsia" w:ascii="CESI楷体-GB2312" w:hAnsi="CESI楷体-GB2312" w:eastAsia="CESI楷体-GB2312" w:cs="CESI楷体-GB2312"/>
              <w:bCs/>
              <w:sz w:val="28"/>
              <w:szCs w:val="28"/>
            </w:rPr>
            <w:t>存在问题</w:t>
          </w:r>
          <w:r>
            <w:rPr>
              <w:rFonts w:hint="eastAsia" w:ascii="CESI楷体-GB2312" w:hAnsi="CESI楷体-GB2312" w:eastAsia="CESI楷体-GB2312" w:cs="CESI楷体-GB2312"/>
              <w:bCs/>
              <w:sz w:val="28"/>
              <w:szCs w:val="28"/>
              <w:lang w:val="en-US" w:eastAsia="zh-CN"/>
            </w:rPr>
            <w:t>及</w:t>
          </w:r>
          <w:r>
            <w:rPr>
              <w:rFonts w:hint="eastAsia" w:ascii="CESI楷体-GB2312" w:hAnsi="CESI楷体-GB2312" w:eastAsia="CESI楷体-GB2312" w:cs="CESI楷体-GB2312"/>
              <w:bCs/>
              <w:sz w:val="28"/>
              <w:szCs w:val="28"/>
            </w:rPr>
            <w:t>改进</w:t>
          </w:r>
          <w:r>
            <w:rPr>
              <w:rFonts w:hint="eastAsia" w:ascii="CESI楷体-GB2312" w:hAnsi="CESI楷体-GB2312" w:eastAsia="CESI楷体-GB2312" w:cs="CESI楷体-GB2312"/>
              <w:bCs/>
              <w:sz w:val="28"/>
              <w:szCs w:val="28"/>
              <w:lang w:eastAsia="zh-CN"/>
            </w:rPr>
            <w:t>措施</w:t>
          </w:r>
          <w:r>
            <w:rPr>
              <w:rFonts w:hint="eastAsia" w:ascii="CESI楷体-GB2312" w:hAnsi="CESI楷体-GB2312" w:eastAsia="CESI楷体-GB2312" w:cs="CESI楷体-GB2312"/>
              <w:sz w:val="28"/>
              <w:szCs w:val="28"/>
            </w:rPr>
            <w:tab/>
          </w:r>
          <w:r>
            <w:rPr>
              <w:rFonts w:hint="eastAsia" w:ascii="CESI楷体-GB2312" w:hAnsi="CESI楷体-GB2312" w:eastAsia="CESI楷体-GB2312" w:cs="CESI楷体-GB2312"/>
              <w:sz w:val="28"/>
              <w:szCs w:val="28"/>
            </w:rPr>
            <w:fldChar w:fldCharType="begin"/>
          </w:r>
          <w:r>
            <w:rPr>
              <w:rFonts w:hint="eastAsia" w:ascii="CESI楷体-GB2312" w:hAnsi="CESI楷体-GB2312" w:eastAsia="CESI楷体-GB2312" w:cs="CESI楷体-GB2312"/>
              <w:sz w:val="28"/>
              <w:szCs w:val="28"/>
            </w:rPr>
            <w:instrText xml:space="preserve"> PAGEREF _Toc22033 \h </w:instrText>
          </w:r>
          <w:r>
            <w:rPr>
              <w:rFonts w:hint="eastAsia" w:ascii="CESI楷体-GB2312" w:hAnsi="CESI楷体-GB2312" w:eastAsia="CESI楷体-GB2312" w:cs="CESI楷体-GB2312"/>
              <w:sz w:val="28"/>
              <w:szCs w:val="28"/>
            </w:rPr>
            <w:fldChar w:fldCharType="separate"/>
          </w:r>
          <w:r>
            <w:rPr>
              <w:rFonts w:hint="eastAsia" w:ascii="CESI楷体-GB2312" w:hAnsi="CESI楷体-GB2312" w:eastAsia="CESI楷体-GB2312" w:cs="CESI楷体-GB2312"/>
              <w:sz w:val="28"/>
              <w:szCs w:val="28"/>
            </w:rPr>
            <w:t>21</w:t>
          </w:r>
          <w:r>
            <w:rPr>
              <w:rFonts w:hint="eastAsia" w:ascii="CESI楷体-GB2312" w:hAnsi="CESI楷体-GB2312" w:eastAsia="CESI楷体-GB2312" w:cs="CESI楷体-GB2312"/>
              <w:sz w:val="28"/>
              <w:szCs w:val="28"/>
            </w:rPr>
            <w:fldChar w:fldCharType="end"/>
          </w:r>
          <w:r>
            <w:rPr>
              <w:rFonts w:hint="eastAsia" w:ascii="CESI楷体-GB2312" w:hAnsi="CESI楷体-GB2312" w:eastAsia="CESI楷体-GB2312" w:cs="CESI楷体-GB2312"/>
              <w:sz w:val="28"/>
              <w:szCs w:val="28"/>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_Toc14938 </w:instrText>
          </w:r>
          <w:r>
            <w:rPr>
              <w:rFonts w:hint="eastAsia" w:ascii="黑体" w:hAnsi="黑体" w:eastAsia="黑体" w:cs="黑体"/>
              <w:sz w:val="28"/>
              <w:szCs w:val="28"/>
            </w:rPr>
            <w:fldChar w:fldCharType="separate"/>
          </w:r>
          <w:r>
            <w:rPr>
              <w:rFonts w:hint="eastAsia" w:ascii="黑体" w:hAnsi="黑体" w:eastAsia="黑体" w:cs="黑体"/>
              <w:bCs/>
              <w:sz w:val="28"/>
              <w:szCs w:val="28"/>
            </w:rPr>
            <w:t xml:space="preserve">三、 </w:t>
          </w:r>
          <w:r>
            <w:rPr>
              <w:rFonts w:hint="eastAsia" w:ascii="黑体" w:hAnsi="黑体" w:eastAsia="黑体" w:cs="黑体"/>
              <w:bCs/>
              <w:sz w:val="28"/>
              <w:szCs w:val="28"/>
              <w:lang w:eastAsia="zh-CN"/>
            </w:rPr>
            <w:t>其他</w:t>
          </w:r>
          <w:r>
            <w:rPr>
              <w:rFonts w:hint="eastAsia" w:ascii="黑体" w:hAnsi="黑体" w:eastAsia="黑体" w:cs="黑体"/>
              <w:bCs/>
              <w:sz w:val="28"/>
              <w:szCs w:val="28"/>
            </w:rPr>
            <w:t>自评情况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_Toc14938 \h </w:instrText>
          </w:r>
          <w:r>
            <w:rPr>
              <w:rFonts w:hint="eastAsia" w:ascii="黑体" w:hAnsi="黑体" w:eastAsia="黑体" w:cs="黑体"/>
              <w:sz w:val="28"/>
              <w:szCs w:val="28"/>
            </w:rPr>
            <w:fldChar w:fldCharType="separate"/>
          </w:r>
          <w:r>
            <w:rPr>
              <w:rFonts w:hint="eastAsia" w:ascii="黑体" w:hAnsi="黑体" w:eastAsia="黑体" w:cs="黑体"/>
              <w:sz w:val="28"/>
              <w:szCs w:val="28"/>
            </w:rPr>
            <w:t>21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pStyle w:val="10"/>
            <w:keepNext w:val="0"/>
            <w:keepLines w:val="0"/>
            <w:pageBreakBefore w:val="0"/>
            <w:tabs>
              <w:tab w:val="right" w:leader="dot" w:pos="8306"/>
            </w:tabs>
            <w:kinsoku/>
            <w:wordWrap/>
            <w:overflowPunct/>
            <w:topLinePunct w:val="0"/>
            <w:autoSpaceDE/>
            <w:autoSpaceDN/>
            <w:bidi w:val="0"/>
            <w:adjustRightInd/>
            <w:snapToGrid/>
            <w:spacing w:line="480" w:lineRule="exact"/>
            <w:textAlignment w:val="auto"/>
            <w:rPr>
              <w:rFonts w:hint="eastAsia" w:ascii="黑体" w:hAnsi="黑体" w:eastAsia="黑体" w:cs="黑体"/>
              <w:sz w:val="28"/>
              <w:szCs w:val="28"/>
            </w:rPr>
          </w:pP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HYPERLINK \l _Toc29139 </w:instrText>
          </w:r>
          <w:r>
            <w:rPr>
              <w:rFonts w:hint="eastAsia" w:ascii="黑体" w:hAnsi="黑体" w:eastAsia="黑体" w:cs="黑体"/>
              <w:sz w:val="28"/>
              <w:szCs w:val="28"/>
            </w:rPr>
            <w:fldChar w:fldCharType="separate"/>
          </w:r>
          <w:r>
            <w:rPr>
              <w:rFonts w:hint="eastAsia" w:ascii="黑体" w:hAnsi="黑体" w:eastAsia="黑体" w:cs="黑体"/>
              <w:bCs/>
              <w:sz w:val="28"/>
              <w:szCs w:val="28"/>
            </w:rPr>
            <w:t xml:space="preserve">四、 </w:t>
          </w:r>
          <w:r>
            <w:rPr>
              <w:rFonts w:hint="eastAsia" w:ascii="黑体" w:hAnsi="黑体" w:eastAsia="黑体" w:cs="黑体"/>
              <w:bCs/>
              <w:sz w:val="28"/>
              <w:szCs w:val="28"/>
              <w:lang w:val="en-US" w:eastAsia="zh-CN"/>
            </w:rPr>
            <w:t>上年度绩效自评整改情况</w:t>
          </w:r>
          <w:r>
            <w:rPr>
              <w:rFonts w:hint="eastAsia" w:ascii="黑体" w:hAnsi="黑体" w:eastAsia="黑体" w:cs="黑体"/>
              <w:sz w:val="28"/>
              <w:szCs w:val="28"/>
            </w:rPr>
            <w:tab/>
          </w:r>
          <w:r>
            <w:rPr>
              <w:rFonts w:hint="eastAsia" w:ascii="黑体" w:hAnsi="黑体" w:eastAsia="黑体" w:cs="黑体"/>
              <w:sz w:val="28"/>
              <w:szCs w:val="28"/>
            </w:rPr>
            <w:fldChar w:fldCharType="begin"/>
          </w:r>
          <w:r>
            <w:rPr>
              <w:rFonts w:hint="eastAsia" w:ascii="黑体" w:hAnsi="黑体" w:eastAsia="黑体" w:cs="黑体"/>
              <w:sz w:val="28"/>
              <w:szCs w:val="28"/>
            </w:rPr>
            <w:instrText xml:space="preserve"> PAGEREF _Toc29139 \h </w:instrText>
          </w:r>
          <w:r>
            <w:rPr>
              <w:rFonts w:hint="eastAsia" w:ascii="黑体" w:hAnsi="黑体" w:eastAsia="黑体" w:cs="黑体"/>
              <w:sz w:val="28"/>
              <w:szCs w:val="28"/>
            </w:rPr>
            <w:fldChar w:fldCharType="separate"/>
          </w:r>
          <w:r>
            <w:rPr>
              <w:rFonts w:hint="eastAsia" w:ascii="黑体" w:hAnsi="黑体" w:eastAsia="黑体" w:cs="黑体"/>
              <w:sz w:val="28"/>
              <w:szCs w:val="28"/>
            </w:rPr>
            <w:t>21</w:t>
          </w:r>
          <w:r>
            <w:rPr>
              <w:rFonts w:hint="eastAsia" w:ascii="黑体" w:hAnsi="黑体" w:eastAsia="黑体" w:cs="黑体"/>
              <w:sz w:val="28"/>
              <w:szCs w:val="28"/>
            </w:rPr>
            <w:fldChar w:fldCharType="end"/>
          </w:r>
          <w:r>
            <w:rPr>
              <w:rFonts w:hint="eastAsia" w:ascii="黑体" w:hAnsi="黑体" w:eastAsia="黑体" w:cs="黑体"/>
              <w:sz w:val="28"/>
              <w:szCs w:val="28"/>
            </w:rPr>
            <w:fldChar w:fldCharType="end"/>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30"/>
              <w:szCs w:val="30"/>
            </w:rPr>
            <w:sectPr>
              <w:footerReference r:id="rId3" w:type="default"/>
              <w:pgSz w:w="11906" w:h="16838"/>
              <w:pgMar w:top="1871" w:right="1531" w:bottom="1871" w:left="1531" w:header="851" w:footer="1417" w:gutter="0"/>
              <w:cols w:space="0" w:num="1"/>
              <w:rtlGutter w:val="0"/>
              <w:docGrid w:type="lines" w:linePitch="312" w:charSpace="0"/>
            </w:sectPr>
          </w:pPr>
          <w:r>
            <w:rPr>
              <w:rFonts w:hint="eastAsia" w:ascii="仿宋_GB2312" w:hAnsi="仿宋_GB2312" w:eastAsia="仿宋_GB2312" w:cs="仿宋_GB2312"/>
              <w:sz w:val="28"/>
              <w:szCs w:val="28"/>
            </w:rPr>
            <w:fldChar w:fldCharType="end"/>
          </w:r>
        </w:p>
      </w:sdtContent>
    </w:sdt>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eastAsia="zh-CN"/>
        </w:rPr>
        <w:t>为贯彻落实党的十九</w:t>
      </w:r>
      <w:r>
        <w:rPr>
          <w:rFonts w:hint="eastAsia" w:ascii="Times New Roman" w:hAnsi="Times New Roman" w:eastAsia="仿宋_GB2312" w:cs="仿宋_GB2312"/>
          <w:b w:val="0"/>
          <w:bCs w:val="0"/>
          <w:sz w:val="32"/>
          <w:szCs w:val="32"/>
          <w:highlight w:val="none"/>
          <w:lang w:eastAsia="zh-CN"/>
        </w:rPr>
        <w:t>大“全面实施绩效管理”要求，提升部门整体支出绩效管理水平，</w:t>
      </w:r>
      <w:r>
        <w:rPr>
          <w:rFonts w:hint="eastAsia" w:ascii="Times New Roman" w:hAnsi="Times New Roman" w:eastAsia="仿宋_GB2312" w:cs="仿宋_GB2312"/>
          <w:b w:val="0"/>
          <w:bCs w:val="0"/>
          <w:sz w:val="32"/>
          <w:szCs w:val="32"/>
          <w:highlight w:val="none"/>
          <w:lang w:val="en-US" w:eastAsia="zh-CN"/>
        </w:rPr>
        <w:t>根据《广东省财政厅关于开展2023年省级财政资金绩效自评工作的通知》的有关</w:t>
      </w:r>
      <w:r>
        <w:rPr>
          <w:rFonts w:hint="eastAsia" w:ascii="Times New Roman" w:hAnsi="Times New Roman" w:eastAsia="仿宋_GB2312" w:cs="仿宋_GB2312"/>
          <w:b w:val="0"/>
          <w:bCs w:val="0"/>
          <w:sz w:val="32"/>
          <w:szCs w:val="32"/>
          <w:lang w:val="en-US" w:eastAsia="zh-CN"/>
        </w:rPr>
        <w:t>要求，广东省海洋综合执法总队（以下简称总队）经过自评材料收集、整理、汇总、审核、综合分析评价等一系列评价工作，形成本绩效评价报告。部门整体支出绩效自评资金范围包括部门预算基本支出及项目支出，总队2022年度无专项资金。绩效自评周期为2022年1月1日至2022年12月31日，绩效自评基准日为2022年12月31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Times New Roman" w:hAnsi="Times New Roman" w:eastAsia="黑体" w:cs="黑体"/>
          <w:bCs/>
          <w:sz w:val="32"/>
          <w:szCs w:val="32"/>
        </w:rPr>
      </w:pPr>
      <w:bookmarkStart w:id="1" w:name="_Toc6390"/>
      <w:bookmarkStart w:id="2" w:name="_Toc15128"/>
      <w:r>
        <w:rPr>
          <w:rFonts w:hint="eastAsia" w:ascii="Times New Roman" w:hAnsi="Times New Roman" w:eastAsia="黑体" w:cs="黑体"/>
          <w:bCs/>
          <w:sz w:val="32"/>
          <w:szCs w:val="32"/>
        </w:rPr>
        <w:t>一、部门基本情况</w:t>
      </w:r>
      <w:bookmarkEnd w:id="1"/>
      <w:bookmarkEnd w:id="2"/>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Times New Roman" w:hAnsi="Times New Roman" w:eastAsia="CESI楷体-GB2312" w:cs="CESI楷体-GB2312"/>
          <w:b/>
          <w:bCs/>
          <w:color w:val="000000"/>
          <w:sz w:val="32"/>
          <w:szCs w:val="32"/>
        </w:rPr>
      </w:pPr>
      <w:bookmarkStart w:id="3" w:name="_Toc175"/>
      <w:bookmarkStart w:id="4" w:name="_Toc15942"/>
      <w:r>
        <w:rPr>
          <w:rFonts w:hint="eastAsia" w:ascii="Times New Roman" w:hAnsi="Times New Roman" w:eastAsia="CESI楷体-GB2312" w:cs="CESI楷体-GB2312"/>
          <w:b/>
          <w:bCs/>
          <w:color w:val="000000"/>
          <w:sz w:val="32"/>
          <w:szCs w:val="32"/>
        </w:rPr>
        <w:t>（一）部门职能</w:t>
      </w:r>
      <w:bookmarkEnd w:id="3"/>
      <w:bookmarkEnd w:id="4"/>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eastAsia="zh-CN"/>
        </w:rPr>
        <w:t>广东省海洋综合执法总队是省委、省政府为适应海洋强国、海洋强省战略需要新设立的一支服务多部门、保障多领域的新型综合执法队伍，为副厅级部门管理机构。</w:t>
      </w:r>
      <w:r>
        <w:rPr>
          <w:rFonts w:hint="eastAsia" w:ascii="Times New Roman" w:hAnsi="Times New Roman" w:eastAsia="仿宋_GB2312" w:cs="仿宋_GB2312"/>
          <w:b w:val="0"/>
          <w:bCs w:val="0"/>
          <w:sz w:val="32"/>
          <w:szCs w:val="32"/>
          <w:lang w:val="en-US" w:eastAsia="zh-CN"/>
        </w:rPr>
        <w:t>根据《中共广东省委机构编制委员会关于印发〈广东省海洋综合执法总队职能配置、内设机构和人员编制规定〉的通知》（粤机编发〔2020〕10号）的要求，我总队贯彻落实党中央关于海洋综合执法工作的方针政策和决策部署，按照省委工作要求，在履行职责过程中坚持和加强党对海洋综合执法工作的集中统一领导，集中行使广东省权限范围内的涉海综合执法职责。</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left="642" w:leftChars="0" w:firstLine="0" w:firstLineChars="0"/>
        <w:textAlignment w:val="auto"/>
        <w:outlineLvl w:val="2"/>
        <w:rPr>
          <w:rFonts w:hint="eastAsia" w:ascii="Times New Roman" w:hAnsi="Times New Roman" w:eastAsia="仿宋_GB2312" w:cs="仿宋_GB2312"/>
          <w:b/>
          <w:bCs/>
          <w:sz w:val="32"/>
          <w:szCs w:val="32"/>
          <w:lang w:val="en-US" w:eastAsia="zh-CN"/>
        </w:rPr>
      </w:pPr>
      <w:bookmarkStart w:id="5" w:name="_Toc24522"/>
      <w:bookmarkStart w:id="6" w:name="_Toc14384"/>
      <w:r>
        <w:rPr>
          <w:rFonts w:hint="eastAsia" w:ascii="Times New Roman" w:hAnsi="Times New Roman" w:eastAsia="仿宋_GB2312" w:cs="仿宋_GB2312"/>
          <w:b/>
          <w:bCs/>
          <w:sz w:val="32"/>
          <w:szCs w:val="32"/>
          <w:lang w:val="en-US" w:eastAsia="zh-CN"/>
        </w:rPr>
        <w:t>主要职责</w:t>
      </w:r>
      <w:bookmarkEnd w:id="5"/>
      <w:bookmarkEnd w:id="6"/>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42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贯彻执行《中华人民共和国海域使用管理法》《中华人民共和国海洋环境保护法》《中华人民共和国海岛保护法》《中华人民共和国渔业法》等有关法律法规，制定全省海洋综合执法规划、计划并组织实施。</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42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指导监督全省海洋综合执法工作，组织、指挥、协调海洋综合执法行动。</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42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组织实施全省海域的巡航监视。根据授权履行海洋监察职能，维护国家海洋权益，保护海洋生态环境，维持海洋保护开发秩序。</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42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负责海域使用、海岛保护和无居民海岛开发利用、海洋矿产资源勘查开发、海底电缆管道铺设保护、海洋调查测量等方面执法工作，依法查处违法违规行为。</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42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负责海洋生态环境执法工作，依法查处海洋工程建设项目、航道工程项目、海洋倾倒废弃物等对海洋污染损害行为。按权限参与海洋环境污染事故应急处置和调查处理。</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42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依法履行渔政管理职责，负责机动渔船底拖网禁渔区线内侧海洋渔业执法工作。负责伏季休渔、渔业水域生态环境和水生野生动植物执法监督检查。监督指导协调非涉海地区渔政执法相关工作。</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42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负责渔船安全、渔港水域交通安全、渔港港务、渔港水域防污、港航设施安全的监督管理和相关执法工作。依法组织或参与调查处理海洋渔业船舶水上安全事故、渔事纠纷和调解，指挥、协调渔船海难救助。</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42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承担海洋渔业船舶及其船用产品法定检验的组织、指导和监督管理。负责海洋渔业船舶登记和渔业船员考试、发证，监督指导渔业船舶船员培训。</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42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负责全省海洋综合执法队伍组织建设和督察工作，负责全省海洋综合执法人员录用资格审核和培训。</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42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拟定全省海洋综合执法装备建设规划并组织实施，负责海洋综合执法信息化建设。</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firstLine="420" w:firstLineChars="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接受中国海警局及其海区派出机构的协调指导，完成上级交办的其他事项。</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642" w:leftChars="0" w:firstLine="0" w:firstLineChars="0"/>
        <w:textAlignment w:val="auto"/>
        <w:outlineLvl w:val="2"/>
        <w:rPr>
          <w:rFonts w:hint="eastAsia" w:ascii="Times New Roman" w:hAnsi="Times New Roman" w:eastAsia="仿宋_GB2312" w:cs="仿宋_GB2312"/>
          <w:b/>
          <w:bCs/>
          <w:sz w:val="32"/>
          <w:szCs w:val="32"/>
          <w:lang w:val="en-US" w:eastAsia="zh-CN"/>
        </w:rPr>
      </w:pPr>
      <w:bookmarkStart w:id="7" w:name="_Toc21459"/>
      <w:bookmarkStart w:id="8" w:name="_Toc8133"/>
      <w:r>
        <w:rPr>
          <w:rFonts w:hint="eastAsia" w:ascii="Times New Roman" w:hAnsi="Times New Roman" w:eastAsia="仿宋_GB2312" w:cs="仿宋_GB2312"/>
          <w:b/>
          <w:bCs/>
          <w:sz w:val="32"/>
          <w:szCs w:val="32"/>
          <w:lang w:val="en-US" w:eastAsia="zh-CN"/>
        </w:rPr>
        <w:t>机构和人员情况</w:t>
      </w:r>
      <w:bookmarkEnd w:id="7"/>
      <w:bookmarkEnd w:id="8"/>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eastAsia="zh-CN"/>
        </w:rPr>
        <w:t>广东省海洋综合执法总队</w:t>
      </w:r>
      <w:r>
        <w:rPr>
          <w:rFonts w:hint="eastAsia" w:ascii="Times New Roman" w:hAnsi="Times New Roman" w:eastAsia="仿宋_GB2312" w:cs="仿宋_GB2312"/>
          <w:b w:val="0"/>
          <w:bCs w:val="0"/>
          <w:sz w:val="32"/>
          <w:szCs w:val="32"/>
          <w:lang w:val="en-US" w:eastAsia="zh-CN"/>
        </w:rPr>
        <w:t>设办公室（财务与装备技术处）、综合协调与指挥处、海洋行动处、渔业行动处、渔船渔港监督处、案件审理处、法制与督察处、人事教育处和机关党委（渔船党建指导处）等9个内设机构。</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eastAsia="zh-CN"/>
        </w:rPr>
        <w:t>广东省海洋综合执法总队</w:t>
      </w:r>
      <w:r>
        <w:rPr>
          <w:rFonts w:hint="eastAsia" w:ascii="Times New Roman" w:hAnsi="Times New Roman" w:eastAsia="仿宋_GB2312" w:cs="仿宋_GB2312"/>
          <w:b w:val="0"/>
          <w:bCs w:val="0"/>
          <w:sz w:val="32"/>
          <w:szCs w:val="32"/>
          <w:lang w:val="en-US" w:eastAsia="zh-CN"/>
        </w:rPr>
        <w:t>下属单位共3个，包括：广东省海洋综合执法总队直属一支队、广东省海洋综合执法总队直属二支队、广东省海洋综合执法总队直属三支队。</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截至2022年12月31日，本部门核定的</w:t>
      </w:r>
      <w:r>
        <w:rPr>
          <w:rFonts w:hint="eastAsia" w:ascii="Times New Roman" w:hAnsi="Times New Roman" w:eastAsia="仿宋_GB2312" w:cs="仿宋_GB2312"/>
          <w:b w:val="0"/>
          <w:bCs w:val="0"/>
          <w:sz w:val="32"/>
          <w:szCs w:val="32"/>
          <w:highlight w:val="none"/>
          <w:lang w:val="en-US" w:eastAsia="zh-CN"/>
        </w:rPr>
        <w:t>行政编制人员数为174名，</w:t>
      </w:r>
      <w:r>
        <w:rPr>
          <w:rFonts w:hint="eastAsia" w:ascii="Times New Roman" w:hAnsi="Times New Roman" w:eastAsia="仿宋_GB2312" w:cs="仿宋_GB2312"/>
          <w:b w:val="0"/>
          <w:bCs w:val="0"/>
          <w:sz w:val="32"/>
          <w:szCs w:val="32"/>
          <w:lang w:val="en-US" w:eastAsia="zh-CN"/>
        </w:rPr>
        <w:t>年末实有行政编制人员156人，离休人员1人，由养老保险基金发放养老金的离退休人员61人。</w:t>
      </w:r>
    </w:p>
    <w:p>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firstLine="643" w:firstLineChars="200"/>
        <w:textAlignment w:val="auto"/>
        <w:outlineLvl w:val="1"/>
        <w:rPr>
          <w:rFonts w:hint="eastAsia" w:ascii="Times New Roman" w:hAnsi="Times New Roman" w:eastAsia="CESI楷体-GB2312" w:cs="CESI楷体-GB2312"/>
          <w:b/>
          <w:bCs/>
          <w:sz w:val="32"/>
          <w:szCs w:val="32"/>
        </w:rPr>
      </w:pPr>
      <w:bookmarkStart w:id="9" w:name="_Toc1817"/>
      <w:bookmarkStart w:id="10" w:name="_Toc2554"/>
      <w:r>
        <w:rPr>
          <w:rFonts w:hint="eastAsia" w:ascii="Times New Roman" w:hAnsi="Times New Roman" w:eastAsia="CESI楷体-GB2312" w:cs="CESI楷体-GB2312"/>
          <w:b/>
          <w:bCs/>
          <w:sz w:val="32"/>
          <w:szCs w:val="32"/>
        </w:rPr>
        <w:t>年度总体工作和重点工作任务</w:t>
      </w:r>
      <w:bookmarkEnd w:id="9"/>
      <w:bookmarkEnd w:id="10"/>
    </w:p>
    <w:p>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leftChars="0" w:firstLine="643" w:firstLineChars="200"/>
        <w:textAlignment w:val="auto"/>
        <w:outlineLvl w:val="2"/>
        <w:rPr>
          <w:rFonts w:hint="eastAsia" w:ascii="Times New Roman" w:hAnsi="Times New Roman" w:eastAsia="仿宋_GB2312" w:cs="仿宋_GB2312"/>
          <w:b/>
          <w:bCs/>
          <w:sz w:val="32"/>
          <w:szCs w:val="32"/>
          <w:lang w:val="en-US" w:eastAsia="zh-CN"/>
        </w:rPr>
      </w:pPr>
      <w:bookmarkStart w:id="11" w:name="_Toc17836"/>
      <w:bookmarkStart w:id="12" w:name="_Toc13522"/>
      <w:r>
        <w:rPr>
          <w:rFonts w:hint="eastAsia" w:ascii="Times New Roman" w:hAnsi="Times New Roman" w:eastAsia="仿宋_GB2312" w:cs="仿宋_GB2312"/>
          <w:b/>
          <w:bCs/>
          <w:sz w:val="32"/>
          <w:szCs w:val="32"/>
          <w:lang w:val="en-US" w:eastAsia="zh-CN"/>
        </w:rPr>
        <w:t>年度总体工作</w:t>
      </w:r>
      <w:bookmarkEnd w:id="11"/>
      <w:bookmarkEnd w:id="12"/>
    </w:p>
    <w:p>
      <w:pPr>
        <w:pStyle w:val="2"/>
        <w:keepNext w:val="0"/>
        <w:keepLines w:val="0"/>
        <w:pageBreakBefore w:val="0"/>
        <w:widowControl w:val="0"/>
        <w:kinsoku/>
        <w:wordWrap/>
        <w:overflowPunct/>
        <w:topLinePunct w:val="0"/>
        <w:autoSpaceDE/>
        <w:autoSpaceDN/>
        <w:bidi w:val="0"/>
        <w:adjustRightInd/>
        <w:spacing w:line="56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b/>
          <w:bCs/>
          <w:sz w:val="32"/>
          <w:szCs w:val="32"/>
          <w:lang w:val="en-US" w:eastAsia="zh-CN"/>
        </w:rPr>
        <w:t>一是</w:t>
      </w:r>
      <w:r>
        <w:rPr>
          <w:rFonts w:hint="eastAsia" w:ascii="Times New Roman" w:hAnsi="Times New Roman" w:eastAsia="仿宋_GB2312" w:cs="仿宋_GB2312"/>
          <w:sz w:val="32"/>
          <w:szCs w:val="32"/>
          <w:lang w:val="en-US" w:eastAsia="zh-CN"/>
        </w:rPr>
        <w:t>全面维护海洋合法权益，</w:t>
      </w:r>
      <w:r>
        <w:rPr>
          <w:rFonts w:hint="eastAsia" w:ascii="Times New Roman" w:hAnsi="Times New Roman" w:eastAsia="仿宋_GB2312" w:cs="仿宋_GB2312"/>
          <w:color w:val="000000"/>
          <w:sz w:val="32"/>
          <w:szCs w:val="32"/>
        </w:rPr>
        <w:t>坚决贯彻中央部署，继续发挥“打头阵、当先锋”作用，</w:t>
      </w:r>
      <w:r>
        <w:rPr>
          <w:rFonts w:hint="eastAsia" w:ascii="Times New Roman" w:hAnsi="Times New Roman" w:eastAsia="仿宋_GB2312" w:cs="仿宋_GB2312"/>
          <w:b w:val="0"/>
          <w:bCs w:val="0"/>
          <w:color w:val="000000"/>
          <w:kern w:val="2"/>
          <w:sz w:val="32"/>
          <w:szCs w:val="32"/>
          <w:lang w:val="en-US" w:eastAsia="zh-CN" w:bidi="ar-SA"/>
        </w:rPr>
        <w:t>加强敏感海域监管，勇挑戍边卫海重任；</w:t>
      </w:r>
      <w:r>
        <w:rPr>
          <w:rFonts w:hint="eastAsia" w:ascii="Times New Roman" w:hAnsi="Times New Roman" w:eastAsia="仿宋_GB2312" w:cs="仿宋_GB2312"/>
          <w:b/>
          <w:bCs/>
          <w:color w:val="000000"/>
          <w:kern w:val="2"/>
          <w:sz w:val="32"/>
          <w:szCs w:val="32"/>
          <w:lang w:val="en-US" w:eastAsia="zh-CN" w:bidi="ar-SA"/>
        </w:rPr>
        <w:t>二是</w:t>
      </w:r>
      <w:r>
        <w:rPr>
          <w:rFonts w:hint="eastAsia" w:ascii="Times New Roman" w:hAnsi="Times New Roman" w:eastAsia="仿宋_GB2312" w:cs="仿宋_GB2312"/>
          <w:b w:val="0"/>
          <w:bCs w:val="0"/>
          <w:color w:val="000000"/>
          <w:kern w:val="2"/>
          <w:sz w:val="32"/>
          <w:szCs w:val="32"/>
          <w:lang w:val="en-US" w:eastAsia="zh-CN" w:bidi="ar-SA"/>
        </w:rPr>
        <w:t>全面深化市县队伍改革，进一步下沉执法重心、减少执法层级、提高执法效率；</w:t>
      </w:r>
      <w:r>
        <w:rPr>
          <w:rFonts w:hint="eastAsia" w:ascii="Times New Roman" w:hAnsi="Times New Roman" w:eastAsia="仿宋_GB2312" w:cs="仿宋_GB2312"/>
          <w:b/>
          <w:bCs/>
          <w:color w:val="000000"/>
          <w:kern w:val="2"/>
          <w:sz w:val="32"/>
          <w:szCs w:val="32"/>
          <w:lang w:val="en-US" w:eastAsia="zh-CN" w:bidi="ar-SA"/>
        </w:rPr>
        <w:t>三是</w:t>
      </w:r>
      <w:r>
        <w:rPr>
          <w:rFonts w:hint="eastAsia" w:ascii="Times New Roman" w:hAnsi="Times New Roman" w:eastAsia="仿宋_GB2312" w:cs="仿宋_GB2312"/>
          <w:b w:val="0"/>
          <w:bCs w:val="0"/>
          <w:color w:val="000000"/>
          <w:kern w:val="2"/>
          <w:sz w:val="32"/>
          <w:szCs w:val="32"/>
          <w:lang w:val="en-US" w:eastAsia="zh-CN" w:bidi="ar-SA"/>
        </w:rPr>
        <w:t>全面强化渔船安全监管，扎实落实“6个100%”要求，确保渔船“不安全、不出海”，全力守护渔民生命安全；</w:t>
      </w:r>
      <w:r>
        <w:rPr>
          <w:rFonts w:hint="eastAsia" w:ascii="Times New Roman" w:hAnsi="Times New Roman" w:eastAsia="仿宋_GB2312" w:cs="仿宋_GB2312"/>
          <w:b/>
          <w:bCs/>
          <w:color w:val="000000"/>
          <w:kern w:val="2"/>
          <w:sz w:val="32"/>
          <w:szCs w:val="32"/>
          <w:lang w:val="en-US" w:eastAsia="zh-CN" w:bidi="ar-SA"/>
        </w:rPr>
        <w:t>四是</w:t>
      </w:r>
      <w:r>
        <w:rPr>
          <w:rFonts w:hint="eastAsia" w:ascii="Times New Roman" w:hAnsi="Times New Roman" w:eastAsia="仿宋_GB2312" w:cs="仿宋_GB2312"/>
          <w:b w:val="0"/>
          <w:bCs w:val="0"/>
          <w:color w:val="000000"/>
          <w:kern w:val="2"/>
          <w:sz w:val="32"/>
          <w:szCs w:val="32"/>
          <w:lang w:val="en-US" w:eastAsia="zh-CN" w:bidi="ar-SA"/>
        </w:rPr>
        <w:t>全面做好“五重执法”工作，严打违法捕捞、盗采海砂、非法倾废等违法行为，为建设海洋强省保驾护航；</w:t>
      </w:r>
      <w:r>
        <w:rPr>
          <w:rFonts w:hint="eastAsia" w:ascii="Times New Roman" w:hAnsi="Times New Roman" w:eastAsia="仿宋_GB2312" w:cs="仿宋_GB2312"/>
          <w:b/>
          <w:bCs/>
          <w:color w:val="000000"/>
          <w:kern w:val="2"/>
          <w:sz w:val="32"/>
          <w:szCs w:val="32"/>
          <w:lang w:val="en-US" w:eastAsia="zh-CN" w:bidi="ar-SA"/>
        </w:rPr>
        <w:t>五是</w:t>
      </w:r>
      <w:r>
        <w:rPr>
          <w:rFonts w:hint="eastAsia" w:ascii="Times New Roman" w:hAnsi="Times New Roman" w:eastAsia="仿宋_GB2312" w:cs="仿宋_GB2312"/>
          <w:b w:val="0"/>
          <w:bCs w:val="0"/>
          <w:color w:val="000000"/>
          <w:kern w:val="2"/>
          <w:sz w:val="32"/>
          <w:szCs w:val="32"/>
          <w:lang w:val="en-US" w:eastAsia="zh-CN" w:bidi="ar-SA"/>
        </w:rPr>
        <w:t>全面推进打击“三无”船舶，严整海上违规渔船乱象，维护我省渔区社会正常生产秩序。</w:t>
      </w:r>
    </w:p>
    <w:p>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leftChars="0" w:firstLine="643" w:firstLineChars="200"/>
        <w:textAlignment w:val="auto"/>
        <w:outlineLvl w:val="2"/>
        <w:rPr>
          <w:rFonts w:hint="eastAsia" w:ascii="Times New Roman" w:hAnsi="Times New Roman" w:eastAsia="仿宋_GB2312" w:cs="仿宋_GB2312"/>
          <w:b/>
          <w:bCs/>
          <w:sz w:val="32"/>
          <w:szCs w:val="32"/>
          <w:lang w:val="en-US" w:eastAsia="zh-CN"/>
        </w:rPr>
      </w:pPr>
      <w:bookmarkStart w:id="13" w:name="_Toc19478"/>
      <w:bookmarkStart w:id="14" w:name="_Toc13303"/>
      <w:r>
        <w:rPr>
          <w:rFonts w:hint="eastAsia" w:ascii="Times New Roman" w:hAnsi="Times New Roman" w:eastAsia="仿宋_GB2312" w:cs="仿宋_GB2312"/>
          <w:b/>
          <w:bCs/>
          <w:sz w:val="32"/>
          <w:szCs w:val="32"/>
          <w:lang w:val="en-US" w:eastAsia="zh-CN"/>
        </w:rPr>
        <w:t>年度重点工作任务</w:t>
      </w:r>
      <w:bookmarkEnd w:id="13"/>
      <w:bookmarkEnd w:id="14"/>
    </w:p>
    <w:p>
      <w:pPr>
        <w:keepNext w:val="0"/>
        <w:keepLines w:val="0"/>
        <w:pageBreakBefore w:val="0"/>
        <w:widowControl w:val="0"/>
        <w:kinsoku/>
        <w:wordWrap/>
        <w:overflowPunct/>
        <w:topLinePunct w:val="0"/>
        <w:autoSpaceDE/>
        <w:autoSpaceDN/>
        <w:bidi w:val="0"/>
        <w:adjustRightInd/>
        <w:spacing w:line="560" w:lineRule="exact"/>
        <w:jc w:val="left"/>
        <w:textAlignment w:val="auto"/>
        <w:rPr>
          <w:rFonts w:hint="eastAsia" w:ascii="Times New Roman" w:hAnsi="Times New Roman" w:eastAsia="仿宋_GB2312" w:cs="仿宋_GB2312"/>
          <w:b w:val="0"/>
          <w:bCs w:val="0"/>
          <w:color w:val="000000"/>
          <w:kern w:val="2"/>
          <w:sz w:val="32"/>
          <w:szCs w:val="32"/>
          <w:lang w:val="en-US" w:eastAsia="zh-CN" w:bidi="ar-SA"/>
        </w:rPr>
      </w:pPr>
      <w:r>
        <w:rPr>
          <w:rFonts w:hint="eastAsia" w:ascii="Times New Roman" w:hAnsi="Times New Roman" w:eastAsia="仿宋_GB2312" w:cs="仿宋_GB2312"/>
          <w:b w:val="0"/>
          <w:bCs w:val="0"/>
          <w:color w:val="000000"/>
          <w:kern w:val="2"/>
          <w:sz w:val="32"/>
          <w:szCs w:val="32"/>
          <w:lang w:val="en-US" w:eastAsia="zh-CN" w:bidi="ar-SA"/>
        </w:rPr>
        <w:t xml:space="preserve">    2022年，我总队重点工作任务如表1-1所示</w:t>
      </w:r>
    </w:p>
    <w:p>
      <w:pPr>
        <w:pStyle w:val="2"/>
        <w:rPr>
          <w:rFonts w:hint="eastAsia" w:ascii="Times New Roman" w:hAnsi="Times New Roman"/>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b/>
          <w:bCs/>
          <w:color w:val="000000"/>
          <w:sz w:val="32"/>
          <w:szCs w:val="32"/>
        </w:rPr>
        <w:t>表1-</w:t>
      </w:r>
      <w:r>
        <w:rPr>
          <w:rFonts w:hint="eastAsia" w:ascii="Times New Roman" w:hAnsi="Times New Roman" w:eastAsia="仿宋_GB2312" w:cs="仿宋_GB2312"/>
          <w:b/>
          <w:bCs/>
          <w:color w:val="000000"/>
          <w:sz w:val="32"/>
          <w:szCs w:val="32"/>
          <w:lang w:val="en-US" w:eastAsia="zh-CN"/>
        </w:rPr>
        <w:t>1  2022年度广东省海洋综合执法总队重点工作任务</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4009"/>
        <w:gridCol w:w="2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36" w:hRule="atLeast"/>
          <w:jc w:val="center"/>
        </w:trPr>
        <w:tc>
          <w:tcPr>
            <w:tcW w:w="2074"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b w:val="0"/>
                <w:bCs w:val="0"/>
                <w:color w:val="000000"/>
                <w:kern w:val="2"/>
                <w:sz w:val="28"/>
                <w:szCs w:val="28"/>
                <w:lang w:val="en-US" w:eastAsia="zh-CN" w:bidi="ar-SA"/>
              </w:rPr>
            </w:pPr>
            <w:r>
              <w:rPr>
                <w:rFonts w:hint="eastAsia" w:ascii="Times New Roman" w:hAnsi="Times New Roman" w:eastAsia="黑体" w:cs="黑体"/>
                <w:b w:val="0"/>
                <w:bCs w:val="0"/>
                <w:color w:val="000000"/>
                <w:kern w:val="2"/>
                <w:sz w:val="28"/>
                <w:szCs w:val="28"/>
                <w:lang w:val="en-US" w:eastAsia="zh-CN" w:bidi="ar-SA"/>
              </w:rPr>
              <w:t>名称</w:t>
            </w:r>
          </w:p>
        </w:tc>
        <w:tc>
          <w:tcPr>
            <w:tcW w:w="4009"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b w:val="0"/>
                <w:bCs w:val="0"/>
                <w:color w:val="000000"/>
                <w:kern w:val="2"/>
                <w:sz w:val="28"/>
                <w:szCs w:val="28"/>
                <w:lang w:val="en-US" w:eastAsia="zh-CN" w:bidi="ar-SA"/>
              </w:rPr>
            </w:pPr>
            <w:r>
              <w:rPr>
                <w:rFonts w:hint="eastAsia" w:ascii="Times New Roman" w:hAnsi="Times New Roman" w:eastAsia="黑体" w:cs="黑体"/>
                <w:b w:val="0"/>
                <w:bCs w:val="0"/>
                <w:color w:val="000000"/>
                <w:kern w:val="2"/>
                <w:sz w:val="28"/>
                <w:szCs w:val="28"/>
                <w:lang w:val="en-US" w:eastAsia="zh-CN" w:bidi="ar-SA"/>
              </w:rPr>
              <w:t>主要实施内容</w:t>
            </w:r>
          </w:p>
        </w:tc>
        <w:tc>
          <w:tcPr>
            <w:tcW w:w="2439"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黑体" w:cs="黑体"/>
                <w:b w:val="0"/>
                <w:bCs w:val="0"/>
                <w:color w:val="000000"/>
                <w:kern w:val="2"/>
                <w:sz w:val="28"/>
                <w:szCs w:val="28"/>
                <w:lang w:val="en-US" w:eastAsia="zh-CN" w:bidi="ar-SA"/>
              </w:rPr>
            </w:pPr>
            <w:r>
              <w:rPr>
                <w:rFonts w:hint="eastAsia" w:ascii="Times New Roman" w:hAnsi="Times New Roman" w:eastAsia="黑体" w:cs="黑体"/>
                <w:b w:val="0"/>
                <w:bCs w:val="0"/>
                <w:color w:val="000000"/>
                <w:kern w:val="2"/>
                <w:sz w:val="28"/>
                <w:szCs w:val="28"/>
                <w:lang w:val="en-US" w:eastAsia="zh-CN" w:bidi="ar-SA"/>
              </w:rPr>
              <w:t>期望达到的目标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任务1：严密组织海洋综合执法</w:t>
            </w:r>
          </w:p>
        </w:tc>
        <w:tc>
          <w:tcPr>
            <w:tcW w:w="40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组织海岸线保护执法，加强对“重点海域、重点时段、重点对象、重点打击、重点违法”的执法检查，保障深中通道、海上风电等重大项目顺利施工，进一步加强海域海岛巡查，严打电炸毒、绝户网、偷捕、走私、盗砂、倾废行为。</w:t>
            </w:r>
          </w:p>
        </w:tc>
        <w:tc>
          <w:tcPr>
            <w:tcW w:w="24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以深化“五重执法”为核心，严厉打击各类海洋违法行为，助力生态修复，坚决护航海洋强省建设。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7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任务2：抓好渔船安全监督工作</w:t>
            </w:r>
          </w:p>
        </w:tc>
        <w:tc>
          <w:tcPr>
            <w:tcW w:w="400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 xml:space="preserve">强化渔船安全检查，加大渔船安全宣传力度，推进船检社会化改革，渔船管理等信息化支撑，强化防台应急，做好渔业安全生产通信指挥系统运行维护，处置海上突发事件，提高管理效率，提高海上安全救助指挥协调能力，更好地为全省渔民服务。 </w:t>
            </w:r>
          </w:p>
        </w:tc>
        <w:tc>
          <w:tcPr>
            <w:tcW w:w="243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落实“6个100%”要求，确保渔船“不安全、不出海。”</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提高海上安全救助指挥协调能力，坚决守护渔民安全。</w:t>
            </w:r>
          </w:p>
        </w:tc>
      </w:tr>
    </w:tbl>
    <w:p>
      <w:pPr>
        <w:rPr>
          <w:rFonts w:hint="eastAsia" w:ascii="Times New Roman" w:hAnsi="Times New Roman" w:eastAsia="仿宋_GB2312" w:cs="仿宋_GB2312"/>
          <w:b/>
          <w:bCs/>
          <w:sz w:val="30"/>
          <w:szCs w:val="30"/>
        </w:rPr>
      </w:pPr>
      <w:bookmarkStart w:id="15" w:name="_Toc21251"/>
      <w:r>
        <w:rPr>
          <w:rFonts w:hint="eastAsia" w:ascii="Times New Roman" w:hAnsi="Times New Roman" w:eastAsia="仿宋_GB2312" w:cs="仿宋_GB2312"/>
          <w:b/>
          <w:bCs/>
          <w:sz w:val="30"/>
          <w:szCs w:val="30"/>
        </w:rPr>
        <w:br w:type="page"/>
      </w:r>
    </w:p>
    <w:p>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left="0" w:leftChars="0" w:firstLine="643" w:firstLineChars="200"/>
        <w:textAlignment w:val="auto"/>
        <w:outlineLvl w:val="1"/>
        <w:rPr>
          <w:rFonts w:hint="eastAsia" w:ascii="Times New Roman" w:hAnsi="Times New Roman" w:eastAsia="CESI楷体-GB2312" w:cs="CESI楷体-GB2312"/>
          <w:b/>
          <w:bCs/>
          <w:sz w:val="32"/>
          <w:szCs w:val="32"/>
        </w:rPr>
      </w:pPr>
      <w:bookmarkStart w:id="16" w:name="_Toc16588"/>
      <w:r>
        <w:rPr>
          <w:rFonts w:hint="eastAsia" w:ascii="Times New Roman" w:hAnsi="Times New Roman" w:eastAsia="CESI楷体-GB2312" w:cs="CESI楷体-GB2312"/>
          <w:b/>
          <w:bCs/>
          <w:sz w:val="32"/>
          <w:szCs w:val="32"/>
        </w:rPr>
        <w:t>部门整体支出绩效目标</w:t>
      </w:r>
      <w:bookmarkEnd w:id="15"/>
      <w:bookmarkEnd w:id="16"/>
    </w:p>
    <w:p>
      <w:pPr>
        <w:keepNext w:val="0"/>
        <w:keepLines w:val="0"/>
        <w:pageBreakBefore w:val="0"/>
        <w:widowControl w:val="0"/>
        <w:numPr>
          <w:ilvl w:val="0"/>
          <w:numId w:val="7"/>
        </w:numPr>
        <w:kinsoku/>
        <w:wordWrap/>
        <w:overflowPunct/>
        <w:topLinePunct w:val="0"/>
        <w:autoSpaceDE/>
        <w:autoSpaceDN/>
        <w:bidi w:val="0"/>
        <w:adjustRightInd/>
        <w:snapToGrid w:val="0"/>
        <w:spacing w:line="560" w:lineRule="exact"/>
        <w:ind w:left="0" w:leftChars="0" w:firstLine="643" w:firstLineChars="200"/>
        <w:textAlignment w:val="auto"/>
        <w:outlineLvl w:val="2"/>
        <w:rPr>
          <w:rFonts w:hint="eastAsia" w:ascii="Times New Roman" w:hAnsi="Times New Roman" w:eastAsia="仿宋_GB2312" w:cs="仿宋_GB2312"/>
          <w:b/>
          <w:bCs/>
          <w:sz w:val="32"/>
          <w:szCs w:val="32"/>
          <w:lang w:val="en-US" w:eastAsia="zh-CN"/>
        </w:rPr>
      </w:pPr>
      <w:bookmarkStart w:id="17" w:name="_Toc20980"/>
      <w:r>
        <w:rPr>
          <w:rFonts w:hint="eastAsia" w:ascii="Times New Roman" w:hAnsi="Times New Roman" w:eastAsia="仿宋_GB2312" w:cs="仿宋_GB2312"/>
          <w:b/>
          <w:bCs/>
          <w:sz w:val="32"/>
          <w:szCs w:val="32"/>
          <w:lang w:val="en-US" w:eastAsia="zh-CN"/>
        </w:rPr>
        <w:t>绩效总目标</w:t>
      </w:r>
      <w:bookmarkEnd w:id="17"/>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根据我总队《广东省省级部门整体预算绩效目标申报表》，2022年初设定的绩效目标如下：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总目标：依法履行职责，继续加大海洋综合执法力度，全面提升海洋综合执法效能，维护国家海洋权益，保护海洋生态环境，维持海洋保护开发秩序，推动海洋经济高质量发展。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目标1：加大执法力度，组织海岸线保护执法，严厉打击各类海洋违法行为，持续保持打击违法开采海砂、非法倾废的高压态势，助力生态修复；</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目标2：以深化“五重执法”为核心，坚决护航海洋强省建设。加强对“重点海域、重点时段、重点对象、重点打击、重点违法”的执法检查，保障深中通道、海上风电等重大项目顺利施工，加强海域海岛巡查，严打电炸毒、绝户网、偷捕、走私、盗砂、倾废行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目标3：抓好渔船安全监督工作，坚决守护渔民安全。强化渔船安全检查，落实“3个100%”要求，确保渔船“不安全、不出海。”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目标4：强化渔船管理等信息化支撑，提高管理效率，提高海上安全救助指挥协调能力，更好地为全省渔民服务。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仿宋_GB2312"/>
          <w:b w:val="0"/>
          <w:bCs w:val="0"/>
          <w:sz w:val="32"/>
          <w:szCs w:val="32"/>
          <w:lang w:val="en-US" w:eastAsia="zh-CN"/>
        </w:rPr>
      </w:pPr>
      <w:r>
        <w:rPr>
          <w:rFonts w:hint="eastAsia" w:ascii="Times New Roman" w:hAnsi="Times New Roman" w:eastAsia="仿宋_GB2312" w:cs="仿宋_GB2312"/>
          <w:b w:val="0"/>
          <w:bCs w:val="0"/>
          <w:sz w:val="32"/>
          <w:szCs w:val="32"/>
          <w:lang w:val="en-US" w:eastAsia="zh-CN"/>
        </w:rPr>
        <w:t>目标5:加强执法队伍建设。加强对海洋综合执法队伍各方面的执法业务培训，做好政府购买服务人员管理工作，保障人员稳</w:t>
      </w:r>
      <w:r>
        <w:rPr>
          <w:rFonts w:hint="eastAsia" w:ascii="Times New Roman" w:hAnsi="Times New Roman" w:eastAsia="仿宋_GB2312" w:cs="仿宋_GB2312"/>
          <w:b w:val="0"/>
          <w:bCs w:val="0"/>
          <w:spacing w:val="-6"/>
          <w:sz w:val="32"/>
          <w:szCs w:val="32"/>
          <w:lang w:val="en-US" w:eastAsia="zh-CN"/>
        </w:rPr>
        <w:t>定；积极开展行政执法监督检查，开展案卷评查，规范执法行为。</w:t>
      </w:r>
    </w:p>
    <w:p>
      <w:pPr>
        <w:keepNext w:val="0"/>
        <w:keepLines w:val="0"/>
        <w:pageBreakBefore w:val="0"/>
        <w:widowControl w:val="0"/>
        <w:numPr>
          <w:ilvl w:val="0"/>
          <w:numId w:val="7"/>
        </w:numPr>
        <w:kinsoku/>
        <w:wordWrap/>
        <w:overflowPunct/>
        <w:topLinePunct w:val="0"/>
        <w:autoSpaceDE/>
        <w:autoSpaceDN/>
        <w:bidi w:val="0"/>
        <w:adjustRightInd/>
        <w:snapToGrid w:val="0"/>
        <w:spacing w:line="560" w:lineRule="exact"/>
        <w:ind w:left="0" w:leftChars="0" w:firstLine="643" w:firstLineChars="200"/>
        <w:textAlignment w:val="auto"/>
        <w:outlineLvl w:val="2"/>
        <w:rPr>
          <w:rFonts w:hint="eastAsia" w:ascii="Times New Roman" w:hAnsi="Times New Roman" w:eastAsia="仿宋_GB2312" w:cs="仿宋_GB2312"/>
          <w:b/>
          <w:bCs/>
          <w:sz w:val="32"/>
          <w:szCs w:val="32"/>
          <w:lang w:val="en-US" w:eastAsia="zh-CN"/>
        </w:rPr>
      </w:pPr>
      <w:bookmarkStart w:id="18" w:name="_Toc13365"/>
      <w:r>
        <w:rPr>
          <w:rFonts w:hint="eastAsia" w:ascii="Times New Roman" w:hAnsi="Times New Roman" w:eastAsia="仿宋_GB2312" w:cs="仿宋_GB2312"/>
          <w:b/>
          <w:bCs/>
          <w:sz w:val="32"/>
          <w:szCs w:val="32"/>
          <w:lang w:val="en-US" w:eastAsia="zh-CN"/>
        </w:rPr>
        <w:t>具体绩效指标</w:t>
      </w:r>
      <w:bookmarkEnd w:id="18"/>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根据2022年广东省海洋综合执法总队《部门整体预算绩效目标申报表》，具体绩效指标如表1-2所示。</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pacing w:line="560" w:lineRule="exact"/>
        <w:ind w:left="0" w:leftChars="0" w:firstLine="0" w:firstLineChars="0"/>
        <w:jc w:val="center"/>
        <w:textAlignment w:val="auto"/>
        <w:rPr>
          <w:rFonts w:hint="eastAsia" w:ascii="Times New Roman" w:hAnsi="Times New Roman" w:eastAsia="仿宋_GB2312" w:cs="仿宋_GB2312"/>
          <w:sz w:val="32"/>
          <w:szCs w:val="32"/>
          <w:lang w:val="en-US"/>
        </w:rPr>
      </w:pPr>
      <w:r>
        <w:rPr>
          <w:rFonts w:hint="eastAsia" w:ascii="Times New Roman" w:hAnsi="Times New Roman" w:eastAsia="仿宋_GB2312" w:cs="仿宋_GB2312"/>
          <w:b/>
          <w:bCs/>
          <w:color w:val="000000"/>
          <w:sz w:val="32"/>
          <w:szCs w:val="32"/>
        </w:rPr>
        <w:t>表1-</w:t>
      </w:r>
      <w:r>
        <w:rPr>
          <w:rFonts w:hint="eastAsia" w:ascii="Times New Roman" w:hAnsi="Times New Roman" w:eastAsia="仿宋_GB2312" w:cs="仿宋_GB2312"/>
          <w:b/>
          <w:bCs/>
          <w:color w:val="000000"/>
          <w:sz w:val="32"/>
          <w:szCs w:val="32"/>
          <w:lang w:val="en-US" w:eastAsia="zh-CN"/>
        </w:rPr>
        <w:t>2  2022年度广东省海洋综合执法总队重点工作任务</w:t>
      </w:r>
    </w:p>
    <w:tbl>
      <w:tblPr>
        <w:tblStyle w:val="8"/>
        <w:tblW w:w="90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
        <w:gridCol w:w="1662"/>
        <w:gridCol w:w="4011"/>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黑体" w:cs="黑体"/>
                <w:b w:val="0"/>
                <w:bCs w:val="0"/>
                <w:color w:val="000000"/>
                <w:kern w:val="2"/>
                <w:sz w:val="28"/>
                <w:szCs w:val="28"/>
                <w:lang w:val="en-US" w:eastAsia="zh-CN" w:bidi="ar-SA"/>
              </w:rPr>
            </w:pPr>
            <w:r>
              <w:rPr>
                <w:rFonts w:hint="eastAsia" w:ascii="Times New Roman" w:hAnsi="Times New Roman" w:eastAsia="黑体" w:cs="黑体"/>
                <w:b w:val="0"/>
                <w:bCs w:val="0"/>
                <w:color w:val="000000"/>
                <w:kern w:val="2"/>
                <w:sz w:val="28"/>
                <w:szCs w:val="28"/>
                <w:lang w:val="en-US" w:eastAsia="zh-CN" w:bidi="ar-SA"/>
              </w:rPr>
              <w:t>一级指标</w:t>
            </w:r>
          </w:p>
        </w:tc>
        <w:tc>
          <w:tcPr>
            <w:tcW w:w="1662"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黑体" w:cs="黑体"/>
                <w:b w:val="0"/>
                <w:bCs w:val="0"/>
                <w:color w:val="000000"/>
                <w:kern w:val="2"/>
                <w:sz w:val="28"/>
                <w:szCs w:val="28"/>
                <w:lang w:val="en-US" w:eastAsia="zh-CN" w:bidi="ar-SA"/>
              </w:rPr>
            </w:pPr>
            <w:r>
              <w:rPr>
                <w:rFonts w:hint="eastAsia" w:ascii="Times New Roman" w:hAnsi="Times New Roman" w:eastAsia="黑体" w:cs="黑体"/>
                <w:b w:val="0"/>
                <w:bCs w:val="0"/>
                <w:color w:val="000000"/>
                <w:kern w:val="2"/>
                <w:sz w:val="28"/>
                <w:szCs w:val="28"/>
                <w:lang w:val="en-US" w:eastAsia="zh-CN" w:bidi="ar-SA"/>
              </w:rPr>
              <w:t>二级指标</w:t>
            </w:r>
          </w:p>
        </w:tc>
        <w:tc>
          <w:tcPr>
            <w:tcW w:w="4011"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黑体" w:cs="黑体"/>
                <w:b w:val="0"/>
                <w:bCs w:val="0"/>
                <w:color w:val="000000"/>
                <w:kern w:val="2"/>
                <w:sz w:val="28"/>
                <w:szCs w:val="28"/>
                <w:lang w:val="en-US" w:eastAsia="zh-CN" w:bidi="ar-SA"/>
              </w:rPr>
            </w:pPr>
            <w:r>
              <w:rPr>
                <w:rFonts w:hint="eastAsia" w:ascii="Times New Roman" w:hAnsi="Times New Roman" w:eastAsia="黑体" w:cs="黑体"/>
                <w:b w:val="0"/>
                <w:bCs w:val="0"/>
                <w:color w:val="000000"/>
                <w:kern w:val="2"/>
                <w:sz w:val="28"/>
                <w:szCs w:val="28"/>
                <w:lang w:val="en-US" w:eastAsia="zh-CN" w:bidi="ar-SA"/>
              </w:rPr>
              <w:t>三级指标</w:t>
            </w:r>
          </w:p>
        </w:tc>
        <w:tc>
          <w:tcPr>
            <w:tcW w:w="1931" w:type="dxa"/>
            <w:tcBorders>
              <w:top w:val="single" w:color="000000" w:sz="8" w:space="0"/>
              <w:left w:val="single" w:color="000000" w:sz="8" w:space="0"/>
              <w:bottom w:val="single" w:color="000000" w:sz="8" w:space="0"/>
              <w:right w:val="single" w:color="000000" w:sz="8" w:space="0"/>
            </w:tcBorders>
            <w:shd w:val="clear" w:color="auto" w:fill="CFCECE" w:themeFill="background2" w:themeFillShade="E5"/>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黑体" w:cs="黑体"/>
                <w:b w:val="0"/>
                <w:bCs w:val="0"/>
                <w:color w:val="000000"/>
                <w:kern w:val="2"/>
                <w:sz w:val="28"/>
                <w:szCs w:val="28"/>
                <w:lang w:val="en-US" w:eastAsia="zh-CN" w:bidi="ar-SA"/>
              </w:rPr>
            </w:pPr>
            <w:r>
              <w:rPr>
                <w:rFonts w:hint="eastAsia" w:ascii="Times New Roman" w:hAnsi="Times New Roman" w:eastAsia="黑体" w:cs="黑体"/>
                <w:b w:val="0"/>
                <w:bCs w:val="0"/>
                <w:color w:val="000000"/>
                <w:kern w:val="2"/>
                <w:sz w:val="28"/>
                <w:szCs w:val="28"/>
                <w:lang w:val="en-US" w:eastAsia="zh-CN" w:bidi="ar-SA"/>
              </w:rPr>
              <w:t>三级指标</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黑体" w:cs="黑体"/>
                <w:b w:val="0"/>
                <w:bCs w:val="0"/>
                <w:color w:val="000000"/>
                <w:kern w:val="2"/>
                <w:sz w:val="28"/>
                <w:szCs w:val="28"/>
                <w:lang w:val="en-US" w:eastAsia="zh-CN" w:bidi="ar-SA"/>
              </w:rPr>
            </w:pPr>
            <w:r>
              <w:rPr>
                <w:rFonts w:hint="eastAsia" w:ascii="Times New Roman" w:hAnsi="Times New Roman" w:eastAsia="黑体" w:cs="黑体"/>
                <w:b w:val="0"/>
                <w:bCs w:val="0"/>
                <w:color w:val="000000"/>
                <w:kern w:val="2"/>
                <w:sz w:val="28"/>
                <w:szCs w:val="28"/>
                <w:lang w:val="en-US" w:eastAsia="zh-CN" w:bidi="ar-SA"/>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产出指标</w:t>
            </w:r>
          </w:p>
        </w:tc>
        <w:tc>
          <w:tcPr>
            <w:tcW w:w="166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数量指标</w:t>
            </w:r>
          </w:p>
        </w:tc>
        <w:tc>
          <w:tcPr>
            <w:tcW w:w="40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开展联合执法次数（次）</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166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40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联合执法行动区域性覆盖率（%）</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166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40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出动执法船次（艘）</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166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40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检查各类渔船数（艘）</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1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质量指标</w:t>
            </w:r>
          </w:p>
        </w:tc>
        <w:tc>
          <w:tcPr>
            <w:tcW w:w="40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行政案件复议诉讼结果撤销数</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小于或等于2宗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1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时效指标</w:t>
            </w:r>
          </w:p>
        </w:tc>
        <w:tc>
          <w:tcPr>
            <w:tcW w:w="40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年度执法计划完成率</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1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成本指标</w:t>
            </w:r>
          </w:p>
        </w:tc>
        <w:tc>
          <w:tcPr>
            <w:tcW w:w="40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累计上下浮动率＜审批预算的20%</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累计上下浮动率＜审批预算的20%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效益指标</w:t>
            </w:r>
          </w:p>
        </w:tc>
        <w:tc>
          <w:tcPr>
            <w:tcW w:w="166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社会效益</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指标</w:t>
            </w:r>
          </w:p>
        </w:tc>
        <w:tc>
          <w:tcPr>
            <w:tcW w:w="40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提高震慑力</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较显著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166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40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重大海洋或渔业安全事故发生次数</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1662"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生态效益</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指标</w:t>
            </w:r>
          </w:p>
        </w:tc>
        <w:tc>
          <w:tcPr>
            <w:tcW w:w="40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破坏海洋生态环境资源违法行为立案查处率</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1662"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40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海洋渔业违法违规船次下降率</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1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可持续影响指标</w:t>
            </w:r>
          </w:p>
        </w:tc>
        <w:tc>
          <w:tcPr>
            <w:tcW w:w="40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保护海洋环境和生态资源</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3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p>
        </w:tc>
        <w:tc>
          <w:tcPr>
            <w:tcW w:w="1662"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服务对象满意度指标</w:t>
            </w:r>
          </w:p>
        </w:tc>
        <w:tc>
          <w:tcPr>
            <w:tcW w:w="401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渔民满意度</w:t>
            </w:r>
          </w:p>
        </w:tc>
        <w:tc>
          <w:tcPr>
            <w:tcW w:w="193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Times New Roman" w:hAnsi="Times New Roman" w:eastAsia="仿宋_GB2312" w:cs="仿宋_GB2312"/>
                <w:b w:val="0"/>
                <w:bCs w:val="0"/>
                <w:color w:val="000000"/>
                <w:kern w:val="2"/>
                <w:sz w:val="28"/>
                <w:szCs w:val="28"/>
                <w:lang w:val="en-US" w:eastAsia="zh-CN" w:bidi="ar-SA"/>
              </w:rPr>
            </w:pPr>
            <w:r>
              <w:rPr>
                <w:rFonts w:hint="eastAsia" w:ascii="Times New Roman" w:hAnsi="Times New Roman" w:eastAsia="仿宋_GB2312" w:cs="仿宋_GB2312"/>
                <w:b w:val="0"/>
                <w:bCs w:val="0"/>
                <w:color w:val="000000"/>
                <w:kern w:val="2"/>
                <w:sz w:val="28"/>
                <w:szCs w:val="28"/>
                <w:lang w:val="en-US" w:eastAsia="zh-CN" w:bidi="ar-SA"/>
              </w:rPr>
              <w:t>≧85%</w:t>
            </w:r>
          </w:p>
        </w:tc>
      </w:tr>
    </w:tbl>
    <w:p>
      <w:pPr>
        <w:rPr>
          <w:rFonts w:hint="eastAsia" w:ascii="Times New Roman" w:hAnsi="Times New Roman" w:eastAsia="仿宋_GB2312" w:cs="仿宋_GB2312"/>
          <w:kern w:val="2"/>
          <w:sz w:val="30"/>
          <w:szCs w:val="30"/>
          <w:lang w:val="en-US" w:eastAsia="zh-CN" w:bidi="ar-SA"/>
        </w:rPr>
      </w:pPr>
      <w:r>
        <w:rPr>
          <w:rFonts w:hint="eastAsia" w:ascii="Times New Roman" w:hAnsi="Times New Roman" w:eastAsia="仿宋_GB2312" w:cs="仿宋_GB2312"/>
          <w:kern w:val="2"/>
          <w:sz w:val="30"/>
          <w:szCs w:val="30"/>
          <w:lang w:val="en-US" w:eastAsia="zh-CN" w:bidi="ar-SA"/>
        </w:rPr>
        <w:br w:type="page"/>
      </w:r>
    </w:p>
    <w:p>
      <w:pPr>
        <w:keepNext w:val="0"/>
        <w:keepLines w:val="0"/>
        <w:pageBreakBefore w:val="0"/>
        <w:widowControl w:val="0"/>
        <w:numPr>
          <w:ilvl w:val="0"/>
          <w:numId w:val="4"/>
        </w:numPr>
        <w:kinsoku/>
        <w:wordWrap/>
        <w:overflowPunct/>
        <w:topLinePunct w:val="0"/>
        <w:autoSpaceDE/>
        <w:autoSpaceDN/>
        <w:bidi w:val="0"/>
        <w:snapToGrid w:val="0"/>
        <w:spacing w:beforeLines="0" w:afterLines="0" w:line="560" w:lineRule="exact"/>
        <w:ind w:left="0" w:leftChars="0" w:firstLine="643" w:firstLineChars="200"/>
        <w:textAlignment w:val="auto"/>
        <w:outlineLvl w:val="1"/>
        <w:rPr>
          <w:rFonts w:hint="eastAsia" w:ascii="Times New Roman" w:hAnsi="Times New Roman" w:eastAsia="CESI楷体-GB2312" w:cs="CESI楷体-GB2312"/>
          <w:b/>
          <w:bCs/>
          <w:sz w:val="32"/>
          <w:szCs w:val="32"/>
          <w:lang w:eastAsia="zh-CN"/>
        </w:rPr>
      </w:pPr>
      <w:bookmarkStart w:id="19" w:name="_Toc23469"/>
      <w:bookmarkStart w:id="20" w:name="_Toc22069"/>
      <w:r>
        <w:rPr>
          <w:rFonts w:hint="eastAsia" w:ascii="Times New Roman" w:hAnsi="Times New Roman" w:eastAsia="CESI楷体-GB2312" w:cs="CESI楷体-GB2312"/>
          <w:b/>
          <w:bCs/>
          <w:sz w:val="32"/>
          <w:szCs w:val="32"/>
        </w:rPr>
        <w:t>部门整体支出情况</w:t>
      </w:r>
      <w:bookmarkEnd w:id="19"/>
      <w:bookmarkEnd w:id="20"/>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根据</w:t>
      </w:r>
      <w:r>
        <w:rPr>
          <w:rFonts w:hint="eastAsia" w:ascii="Times New Roman" w:hAnsi="Times New Roman" w:eastAsia="仿宋_GB2312" w:cs="仿宋_GB2312"/>
          <w:color w:val="000000"/>
          <w:sz w:val="32"/>
          <w:szCs w:val="32"/>
          <w:lang w:val="en-US" w:eastAsia="zh-CN"/>
        </w:rPr>
        <w:t>我总队</w:t>
      </w:r>
      <w:r>
        <w:rPr>
          <w:rFonts w:hint="eastAsia" w:ascii="Times New Roman" w:hAnsi="Times New Roman" w:eastAsia="仿宋_GB2312" w:cs="仿宋_GB2312"/>
          <w:color w:val="000000"/>
          <w:sz w:val="32"/>
          <w:szCs w:val="32"/>
        </w:rPr>
        <w:t>20</w:t>
      </w:r>
      <w:r>
        <w:rPr>
          <w:rFonts w:hint="eastAsia" w:ascii="Times New Roman" w:hAnsi="Times New Roman" w:eastAsia="仿宋_GB2312" w:cs="仿宋_GB2312"/>
          <w:color w:val="000000"/>
          <w:sz w:val="32"/>
          <w:szCs w:val="32"/>
          <w:lang w:val="en-US" w:eastAsia="zh-CN"/>
        </w:rPr>
        <w:t>22</w:t>
      </w:r>
      <w:r>
        <w:rPr>
          <w:rFonts w:hint="eastAsia" w:ascii="Times New Roman" w:hAnsi="Times New Roman" w:eastAsia="仿宋_GB2312" w:cs="仿宋_GB2312"/>
          <w:color w:val="000000"/>
          <w:sz w:val="32"/>
          <w:szCs w:val="32"/>
        </w:rPr>
        <w:t>年部门决算报表（汇总），部门整体收支情况如下：</w:t>
      </w:r>
    </w:p>
    <w:p>
      <w:pPr>
        <w:keepNext w:val="0"/>
        <w:keepLines w:val="0"/>
        <w:pageBreakBefore w:val="0"/>
        <w:widowControl w:val="0"/>
        <w:numPr>
          <w:ilvl w:val="0"/>
          <w:numId w:val="8"/>
        </w:numPr>
        <w:kinsoku/>
        <w:wordWrap/>
        <w:overflowPunct/>
        <w:topLinePunct w:val="0"/>
        <w:autoSpaceDE/>
        <w:autoSpaceDN/>
        <w:bidi w:val="0"/>
        <w:snapToGrid w:val="0"/>
        <w:spacing w:beforeLines="0" w:afterLines="0" w:line="560" w:lineRule="exact"/>
        <w:ind w:left="0" w:leftChars="0" w:firstLine="643" w:firstLineChars="200"/>
        <w:textAlignment w:val="auto"/>
        <w:outlineLvl w:val="2"/>
        <w:rPr>
          <w:rFonts w:hint="eastAsia" w:ascii="Times New Roman" w:hAnsi="Times New Roman" w:eastAsia="仿宋_GB2312" w:cs="仿宋_GB2312"/>
          <w:b/>
          <w:bCs/>
          <w:sz w:val="32"/>
          <w:szCs w:val="32"/>
          <w:lang w:val="en-US" w:eastAsia="zh-CN"/>
        </w:rPr>
      </w:pPr>
      <w:bookmarkStart w:id="21" w:name="_Toc14364"/>
      <w:r>
        <w:rPr>
          <w:rFonts w:hint="eastAsia" w:ascii="Times New Roman" w:hAnsi="Times New Roman" w:eastAsia="仿宋_GB2312" w:cs="仿宋_GB2312"/>
          <w:b/>
          <w:bCs/>
          <w:sz w:val="32"/>
          <w:szCs w:val="32"/>
          <w:lang w:val="en-US" w:eastAsia="zh-CN"/>
        </w:rPr>
        <w:t>部门总体收入情况</w:t>
      </w:r>
      <w:bookmarkEnd w:id="21"/>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20</w:t>
      </w:r>
      <w:r>
        <w:rPr>
          <w:rFonts w:hint="eastAsia" w:ascii="Times New Roman" w:hAnsi="Times New Roman" w:eastAsia="仿宋_GB2312" w:cs="仿宋_GB2312"/>
          <w:color w:val="000000"/>
          <w:sz w:val="32"/>
          <w:szCs w:val="32"/>
          <w:lang w:val="en-US" w:eastAsia="zh-CN"/>
        </w:rPr>
        <w:t>22</w:t>
      </w:r>
      <w:r>
        <w:rPr>
          <w:rFonts w:hint="eastAsia" w:ascii="Times New Roman" w:hAnsi="Times New Roman" w:eastAsia="仿宋_GB2312" w:cs="仿宋_GB2312"/>
          <w:color w:val="000000"/>
          <w:sz w:val="32"/>
          <w:szCs w:val="32"/>
        </w:rPr>
        <w:t>年</w:t>
      </w:r>
      <w:r>
        <w:rPr>
          <w:rFonts w:hint="eastAsia" w:ascii="Times New Roman" w:hAnsi="Times New Roman" w:eastAsia="仿宋_GB2312" w:cs="仿宋_GB2312"/>
          <w:color w:val="000000"/>
          <w:sz w:val="32"/>
          <w:szCs w:val="32"/>
          <w:lang w:val="en-US" w:eastAsia="zh-CN"/>
        </w:rPr>
        <w:t>广东省海洋综合执法总队</w:t>
      </w:r>
      <w:r>
        <w:rPr>
          <w:rFonts w:hint="eastAsia" w:ascii="Times New Roman" w:hAnsi="Times New Roman" w:eastAsia="仿宋_GB2312" w:cs="仿宋_GB2312"/>
          <w:color w:val="000000"/>
          <w:sz w:val="32"/>
          <w:szCs w:val="32"/>
        </w:rPr>
        <w:t>部门整体收入合计</w:t>
      </w:r>
      <w:r>
        <w:rPr>
          <w:rFonts w:hint="eastAsia" w:ascii="Times New Roman" w:hAnsi="Times New Roman" w:eastAsia="仿宋_GB2312" w:cs="仿宋_GB2312"/>
          <w:i w:val="0"/>
          <w:color w:val="000000"/>
          <w:kern w:val="0"/>
          <w:sz w:val="32"/>
          <w:szCs w:val="32"/>
          <w:u w:val="none"/>
          <w:lang w:val="en-US" w:eastAsia="zh-CN" w:bidi="ar"/>
        </w:rPr>
        <w:t>24,602.50</w:t>
      </w:r>
      <w:r>
        <w:rPr>
          <w:rFonts w:hint="eastAsia" w:ascii="Times New Roman" w:hAnsi="Times New Roman" w:eastAsia="仿宋_GB2312" w:cs="仿宋_GB2312"/>
          <w:color w:val="000000"/>
          <w:sz w:val="32"/>
          <w:szCs w:val="32"/>
        </w:rPr>
        <w:t>万元，结转和结余</w:t>
      </w:r>
      <w:r>
        <w:rPr>
          <w:rFonts w:hint="eastAsia" w:ascii="Times New Roman" w:hAnsi="Times New Roman" w:eastAsia="仿宋_GB2312" w:cs="仿宋_GB2312"/>
          <w:i w:val="0"/>
          <w:color w:val="000000"/>
          <w:kern w:val="0"/>
          <w:sz w:val="32"/>
          <w:szCs w:val="32"/>
          <w:u w:val="none"/>
          <w:lang w:val="en-US" w:eastAsia="zh-CN" w:bidi="ar"/>
        </w:rPr>
        <w:t>5,714.73</w:t>
      </w:r>
      <w:r>
        <w:rPr>
          <w:rFonts w:hint="eastAsia" w:ascii="Times New Roman" w:hAnsi="Times New Roman" w:eastAsia="仿宋_GB2312" w:cs="仿宋_GB2312"/>
          <w:color w:val="000000"/>
          <w:sz w:val="32"/>
          <w:szCs w:val="32"/>
        </w:rPr>
        <w:t>万元</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lang w:val="en-US" w:eastAsia="zh-CN"/>
        </w:rPr>
        <w:t>包括</w:t>
      </w:r>
      <w:r>
        <w:rPr>
          <w:rFonts w:hint="eastAsia" w:ascii="Times New Roman" w:hAnsi="Times New Roman" w:eastAsia="仿宋_GB2312" w:cs="仿宋_GB2312"/>
          <w:color w:val="000000"/>
          <w:sz w:val="32"/>
          <w:szCs w:val="32"/>
        </w:rPr>
        <w:t>一般公共预算财政拨款收入</w:t>
      </w:r>
      <w:r>
        <w:rPr>
          <w:rFonts w:hint="eastAsia" w:ascii="Times New Roman" w:hAnsi="Times New Roman" w:eastAsia="仿宋_GB2312" w:cs="仿宋_GB2312"/>
          <w:color w:val="000000"/>
          <w:sz w:val="32"/>
          <w:szCs w:val="32"/>
          <w:lang w:val="en-US" w:eastAsia="zh-CN"/>
        </w:rPr>
        <w:t>及</w:t>
      </w:r>
      <w:r>
        <w:rPr>
          <w:rFonts w:hint="eastAsia" w:ascii="Times New Roman" w:hAnsi="Times New Roman" w:eastAsia="仿宋_GB2312" w:cs="仿宋_GB2312"/>
          <w:color w:val="000000"/>
          <w:sz w:val="32"/>
          <w:szCs w:val="32"/>
        </w:rPr>
        <w:t>其他收入</w:t>
      </w:r>
      <w:r>
        <w:rPr>
          <w:rFonts w:hint="eastAsia" w:ascii="Times New Roman" w:hAnsi="Times New Roman" w:eastAsia="仿宋_GB2312" w:cs="仿宋_GB2312"/>
          <w:color w:val="000000"/>
          <w:sz w:val="32"/>
          <w:szCs w:val="32"/>
          <w:lang w:val="en-US" w:eastAsia="zh-CN"/>
        </w:rPr>
        <w:t>2</w:t>
      </w:r>
      <w:r>
        <w:rPr>
          <w:rFonts w:hint="eastAsia" w:ascii="Times New Roman" w:hAnsi="Times New Roman" w:eastAsia="仿宋_GB2312" w:cs="仿宋_GB2312"/>
          <w:color w:val="000000"/>
          <w:sz w:val="32"/>
          <w:szCs w:val="32"/>
        </w:rPr>
        <w:t>类</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具体收入情况见表1-</w:t>
      </w:r>
      <w:r>
        <w:rPr>
          <w:rFonts w:hint="eastAsia" w:ascii="Times New Roman" w:hAnsi="Times New Roman" w:eastAsia="仿宋_GB2312" w:cs="仿宋_GB2312"/>
          <w:color w:val="000000"/>
          <w:sz w:val="32"/>
          <w:szCs w:val="32"/>
          <w:lang w:val="en-US" w:eastAsia="zh-CN"/>
        </w:rPr>
        <w:t>3</w:t>
      </w:r>
      <w:r>
        <w:rPr>
          <w:rFonts w:hint="eastAsia" w:ascii="Times New Roman" w:hAnsi="Times New Roman" w:eastAsia="仿宋_GB2312" w:cs="仿宋_GB2312"/>
          <w:color w:val="000000"/>
          <w:sz w:val="32"/>
          <w:szCs w:val="32"/>
        </w:rPr>
        <w:t>。</w:t>
      </w:r>
    </w:p>
    <w:p>
      <w:pPr>
        <w:pStyle w:val="2"/>
        <w:rPr>
          <w:rFonts w:hint="eastAsia"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firstLineChars="200"/>
        <w:contextualSpacing/>
        <w:jc w:val="center"/>
        <w:textAlignment w:val="auto"/>
        <w:rPr>
          <w:rFonts w:hint="eastAsia"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t>表1-</w:t>
      </w:r>
      <w:r>
        <w:rPr>
          <w:rFonts w:hint="eastAsia" w:ascii="Times New Roman" w:hAnsi="Times New Roman" w:eastAsia="仿宋_GB2312" w:cs="仿宋_GB2312"/>
          <w:b/>
          <w:bCs/>
          <w:color w:val="000000"/>
          <w:sz w:val="32"/>
          <w:szCs w:val="32"/>
          <w:lang w:val="en-US" w:eastAsia="zh-CN"/>
        </w:rPr>
        <w:t>3</w:t>
      </w:r>
      <w:r>
        <w:rPr>
          <w:rFonts w:hint="eastAsia" w:ascii="Times New Roman" w:hAnsi="Times New Roman" w:eastAsia="仿宋_GB2312" w:cs="仿宋_GB2312"/>
          <w:b/>
          <w:bCs/>
          <w:color w:val="000000"/>
          <w:sz w:val="32"/>
          <w:szCs w:val="32"/>
        </w:rPr>
        <w:t xml:space="preserve"> </w:t>
      </w:r>
      <w:r>
        <w:rPr>
          <w:rFonts w:hint="eastAsia" w:ascii="Times New Roman" w:hAnsi="Times New Roman" w:eastAsia="仿宋_GB2312" w:cs="仿宋_GB2312"/>
          <w:b/>
          <w:bCs/>
          <w:color w:val="000000"/>
          <w:sz w:val="32"/>
          <w:szCs w:val="32"/>
          <w:lang w:val="en-US" w:eastAsia="zh-CN"/>
        </w:rPr>
        <w:t xml:space="preserve"> 2022年</w:t>
      </w:r>
      <w:r>
        <w:rPr>
          <w:rFonts w:hint="eastAsia" w:ascii="Times New Roman" w:hAnsi="Times New Roman" w:eastAsia="仿宋_GB2312" w:cs="仿宋_GB2312"/>
          <w:b/>
          <w:bCs/>
          <w:color w:val="000000"/>
          <w:sz w:val="32"/>
          <w:szCs w:val="32"/>
        </w:rPr>
        <w:t>部门整体收入基本情况</w:t>
      </w:r>
    </w:p>
    <w:tbl>
      <w:tblPr>
        <w:tblStyle w:val="7"/>
        <w:tblW w:w="890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944"/>
        <w:gridCol w:w="1965"/>
        <w:gridCol w:w="2198"/>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2944" w:type="dxa"/>
            <w:tcBorders>
              <w:tl2br w:val="nil"/>
              <w:tr2bl w:val="nil"/>
            </w:tcBorders>
            <w:shd w:val="clear" w:color="auto" w:fill="C0C0C0"/>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b w:val="0"/>
                <w:bCs w:val="0"/>
                <w:i w:val="0"/>
                <w:color w:val="auto"/>
                <w:sz w:val="28"/>
                <w:szCs w:val="28"/>
                <w:u w:val="none"/>
                <w:shd w:val="clear" w:color="auto" w:fill="auto"/>
              </w:rPr>
            </w:pPr>
            <w:r>
              <w:rPr>
                <w:rFonts w:hint="eastAsia" w:ascii="Times New Roman" w:hAnsi="Times New Roman" w:eastAsia="黑体" w:cs="黑体"/>
                <w:b w:val="0"/>
                <w:bCs w:val="0"/>
                <w:i w:val="0"/>
                <w:color w:val="auto"/>
                <w:kern w:val="0"/>
                <w:sz w:val="28"/>
                <w:szCs w:val="28"/>
                <w:u w:val="none"/>
                <w:shd w:val="clear" w:color="auto" w:fill="auto"/>
                <w:lang w:val="en-US" w:eastAsia="zh-CN" w:bidi="ar"/>
              </w:rPr>
              <w:t>项目</w:t>
            </w:r>
          </w:p>
        </w:tc>
        <w:tc>
          <w:tcPr>
            <w:tcW w:w="1965" w:type="dxa"/>
            <w:tcBorders>
              <w:tl2br w:val="nil"/>
              <w:tr2bl w:val="nil"/>
            </w:tcBorders>
            <w:shd w:val="clear" w:color="auto" w:fill="C0C0C0"/>
            <w:vAlign w:val="center"/>
          </w:tcPr>
          <w:p>
            <w:pPr>
              <w:keepNext w:val="0"/>
              <w:keepLines w:val="0"/>
              <w:widowControl/>
              <w:suppressLineNumbers w:val="0"/>
              <w:spacing w:beforeLines="0" w:afterLines="0" w:line="380" w:lineRule="exact"/>
              <w:ind w:firstLine="0" w:firstLineChars="0"/>
              <w:jc w:val="center"/>
              <w:textAlignment w:val="center"/>
              <w:rPr>
                <w:rFonts w:hint="eastAsia" w:ascii="Times New Roman" w:hAnsi="Times New Roman" w:eastAsia="黑体" w:cs="黑体"/>
                <w:b w:val="0"/>
                <w:bCs w:val="0"/>
                <w:i w:val="0"/>
                <w:color w:val="auto"/>
                <w:kern w:val="0"/>
                <w:sz w:val="28"/>
                <w:szCs w:val="28"/>
                <w:u w:val="none"/>
                <w:shd w:val="clear" w:color="auto" w:fill="auto"/>
                <w:lang w:val="en-US" w:eastAsia="zh-CN" w:bidi="ar"/>
              </w:rPr>
            </w:pPr>
            <w:r>
              <w:rPr>
                <w:rFonts w:hint="eastAsia" w:ascii="Times New Roman" w:hAnsi="Times New Roman" w:eastAsia="黑体" w:cs="黑体"/>
                <w:b w:val="0"/>
                <w:bCs w:val="0"/>
                <w:i w:val="0"/>
                <w:color w:val="auto"/>
                <w:kern w:val="0"/>
                <w:sz w:val="28"/>
                <w:szCs w:val="28"/>
                <w:u w:val="none"/>
                <w:shd w:val="clear" w:color="auto" w:fill="auto"/>
                <w:lang w:val="en-US" w:eastAsia="zh-CN" w:bidi="ar"/>
              </w:rPr>
              <w:t>年初预算数</w:t>
            </w:r>
          </w:p>
          <w:p>
            <w:pPr>
              <w:keepNext w:val="0"/>
              <w:keepLines w:val="0"/>
              <w:widowControl/>
              <w:suppressLineNumbers w:val="0"/>
              <w:spacing w:beforeLines="0" w:afterLines="0" w:line="380" w:lineRule="exact"/>
              <w:ind w:firstLine="0" w:firstLineChars="0"/>
              <w:jc w:val="center"/>
              <w:textAlignment w:val="center"/>
              <w:rPr>
                <w:rFonts w:hint="eastAsia" w:ascii="Times New Roman" w:hAnsi="Times New Roman" w:eastAsia="黑体" w:cs="黑体"/>
                <w:b w:val="0"/>
                <w:bCs w:val="0"/>
                <w:i w:val="0"/>
                <w:color w:val="auto"/>
                <w:sz w:val="28"/>
                <w:szCs w:val="28"/>
                <w:u w:val="none"/>
                <w:shd w:val="clear" w:color="auto" w:fill="auto"/>
              </w:rPr>
            </w:pPr>
            <w:r>
              <w:rPr>
                <w:rFonts w:hint="eastAsia" w:ascii="Times New Roman" w:hAnsi="Times New Roman" w:eastAsia="黑体" w:cs="黑体"/>
                <w:b w:val="0"/>
                <w:bCs w:val="0"/>
                <w:i w:val="0"/>
                <w:color w:val="auto"/>
                <w:kern w:val="0"/>
                <w:sz w:val="28"/>
                <w:szCs w:val="28"/>
                <w:u w:val="none"/>
                <w:shd w:val="clear" w:color="auto" w:fill="auto"/>
                <w:lang w:val="en-US" w:eastAsia="zh-CN" w:bidi="ar"/>
              </w:rPr>
              <w:t>（万元）</w:t>
            </w:r>
          </w:p>
        </w:tc>
        <w:tc>
          <w:tcPr>
            <w:tcW w:w="2198" w:type="dxa"/>
            <w:tcBorders>
              <w:tl2br w:val="nil"/>
              <w:tr2bl w:val="nil"/>
            </w:tcBorders>
            <w:shd w:val="clear" w:color="auto" w:fill="C0C0C0"/>
            <w:vAlign w:val="center"/>
          </w:tcPr>
          <w:p>
            <w:pPr>
              <w:keepNext w:val="0"/>
              <w:keepLines w:val="0"/>
              <w:widowControl/>
              <w:suppressLineNumbers w:val="0"/>
              <w:spacing w:beforeLines="0" w:afterLines="0" w:line="380" w:lineRule="exact"/>
              <w:ind w:firstLine="0" w:firstLineChars="0"/>
              <w:jc w:val="center"/>
              <w:textAlignment w:val="center"/>
              <w:rPr>
                <w:rFonts w:hint="eastAsia" w:ascii="Times New Roman" w:hAnsi="Times New Roman" w:eastAsia="黑体" w:cs="黑体"/>
                <w:b w:val="0"/>
                <w:bCs w:val="0"/>
                <w:i w:val="0"/>
                <w:color w:val="auto"/>
                <w:kern w:val="0"/>
                <w:sz w:val="28"/>
                <w:szCs w:val="28"/>
                <w:u w:val="none"/>
                <w:shd w:val="clear" w:color="auto" w:fill="auto"/>
                <w:lang w:val="en-US" w:eastAsia="zh-CN" w:bidi="ar"/>
              </w:rPr>
            </w:pPr>
            <w:r>
              <w:rPr>
                <w:rFonts w:hint="eastAsia" w:ascii="Times New Roman" w:hAnsi="Times New Roman" w:eastAsia="黑体" w:cs="黑体"/>
                <w:b w:val="0"/>
                <w:bCs w:val="0"/>
                <w:i w:val="0"/>
                <w:color w:val="auto"/>
                <w:kern w:val="0"/>
                <w:sz w:val="28"/>
                <w:szCs w:val="28"/>
                <w:u w:val="none"/>
                <w:shd w:val="clear" w:color="auto" w:fill="auto"/>
                <w:lang w:val="en-US" w:eastAsia="zh-CN" w:bidi="ar"/>
              </w:rPr>
              <w:t>调整预算数</w:t>
            </w:r>
          </w:p>
          <w:p>
            <w:pPr>
              <w:keepNext w:val="0"/>
              <w:keepLines w:val="0"/>
              <w:widowControl/>
              <w:suppressLineNumbers w:val="0"/>
              <w:spacing w:beforeLines="0" w:afterLines="0" w:line="380" w:lineRule="exact"/>
              <w:ind w:firstLine="0" w:firstLineChars="0"/>
              <w:jc w:val="center"/>
              <w:textAlignment w:val="center"/>
              <w:rPr>
                <w:rFonts w:hint="eastAsia" w:ascii="Times New Roman" w:hAnsi="Times New Roman" w:eastAsia="黑体" w:cs="黑体"/>
                <w:b w:val="0"/>
                <w:bCs w:val="0"/>
                <w:i w:val="0"/>
                <w:color w:val="auto"/>
                <w:sz w:val="28"/>
                <w:szCs w:val="28"/>
                <w:u w:val="none"/>
                <w:shd w:val="clear" w:color="auto" w:fill="auto"/>
              </w:rPr>
            </w:pPr>
            <w:r>
              <w:rPr>
                <w:rFonts w:hint="eastAsia" w:ascii="Times New Roman" w:hAnsi="Times New Roman" w:eastAsia="黑体" w:cs="黑体"/>
                <w:b w:val="0"/>
                <w:bCs w:val="0"/>
                <w:i w:val="0"/>
                <w:color w:val="auto"/>
                <w:kern w:val="0"/>
                <w:sz w:val="28"/>
                <w:szCs w:val="28"/>
                <w:u w:val="none"/>
                <w:shd w:val="clear" w:color="auto" w:fill="auto"/>
                <w:lang w:val="en-US" w:eastAsia="zh-CN" w:bidi="ar"/>
              </w:rPr>
              <w:t>（万元）</w:t>
            </w:r>
          </w:p>
        </w:tc>
        <w:tc>
          <w:tcPr>
            <w:tcW w:w="1800" w:type="dxa"/>
            <w:tcBorders>
              <w:tl2br w:val="nil"/>
              <w:tr2bl w:val="nil"/>
            </w:tcBorders>
            <w:shd w:val="clear" w:color="auto" w:fill="C0C0C0"/>
            <w:vAlign w:val="center"/>
          </w:tcPr>
          <w:p>
            <w:pPr>
              <w:keepNext w:val="0"/>
              <w:keepLines w:val="0"/>
              <w:widowControl/>
              <w:suppressLineNumbers w:val="0"/>
              <w:spacing w:beforeLines="0" w:afterLines="0" w:line="380" w:lineRule="exact"/>
              <w:ind w:firstLine="0" w:firstLineChars="0"/>
              <w:jc w:val="center"/>
              <w:textAlignment w:val="center"/>
              <w:rPr>
                <w:rFonts w:hint="eastAsia" w:ascii="Times New Roman" w:hAnsi="Times New Roman" w:eastAsia="黑体" w:cs="黑体"/>
                <w:b w:val="0"/>
                <w:bCs w:val="0"/>
                <w:i w:val="0"/>
                <w:color w:val="auto"/>
                <w:kern w:val="0"/>
                <w:sz w:val="28"/>
                <w:szCs w:val="28"/>
                <w:u w:val="none"/>
                <w:shd w:val="clear" w:color="auto" w:fill="auto"/>
                <w:lang w:val="en-US" w:eastAsia="zh-CN" w:bidi="ar"/>
              </w:rPr>
            </w:pPr>
            <w:r>
              <w:rPr>
                <w:rFonts w:hint="eastAsia" w:ascii="Times New Roman" w:hAnsi="Times New Roman" w:eastAsia="黑体" w:cs="黑体"/>
                <w:b w:val="0"/>
                <w:bCs w:val="0"/>
                <w:i w:val="0"/>
                <w:color w:val="auto"/>
                <w:kern w:val="0"/>
                <w:sz w:val="28"/>
                <w:szCs w:val="28"/>
                <w:u w:val="none"/>
                <w:shd w:val="clear" w:color="auto" w:fill="auto"/>
                <w:lang w:val="en-US" w:eastAsia="zh-CN" w:bidi="ar"/>
              </w:rPr>
              <w:t>决算数</w:t>
            </w:r>
          </w:p>
          <w:p>
            <w:pPr>
              <w:keepNext w:val="0"/>
              <w:keepLines w:val="0"/>
              <w:widowControl/>
              <w:suppressLineNumbers w:val="0"/>
              <w:spacing w:beforeLines="0" w:afterLines="0" w:line="380" w:lineRule="exact"/>
              <w:ind w:firstLine="0" w:firstLineChars="0"/>
              <w:jc w:val="center"/>
              <w:textAlignment w:val="center"/>
              <w:rPr>
                <w:rFonts w:hint="eastAsia" w:ascii="Times New Roman" w:hAnsi="Times New Roman" w:eastAsia="黑体" w:cs="黑体"/>
                <w:b w:val="0"/>
                <w:bCs w:val="0"/>
                <w:i w:val="0"/>
                <w:color w:val="auto"/>
                <w:sz w:val="28"/>
                <w:szCs w:val="28"/>
                <w:u w:val="none"/>
                <w:shd w:val="clear" w:color="auto" w:fill="auto"/>
              </w:rPr>
            </w:pPr>
            <w:r>
              <w:rPr>
                <w:rFonts w:hint="eastAsia" w:ascii="Times New Roman" w:hAnsi="Times New Roman" w:eastAsia="黑体" w:cs="黑体"/>
                <w:b w:val="0"/>
                <w:bCs w:val="0"/>
                <w:i w:val="0"/>
                <w:color w:val="auto"/>
                <w:kern w:val="0"/>
                <w:sz w:val="28"/>
                <w:szCs w:val="28"/>
                <w:u w:val="none"/>
                <w:shd w:val="clear" w:color="auto" w:fill="auto"/>
                <w:lang w:val="en-US" w:eastAsia="zh-CN" w:bidi="ar"/>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0" w:hRule="atLeast"/>
          <w:jc w:val="center"/>
        </w:trPr>
        <w:tc>
          <w:tcPr>
            <w:tcW w:w="2944" w:type="dxa"/>
            <w:tcBorders>
              <w:tl2br w:val="nil"/>
              <w:tr2bl w:val="nil"/>
            </w:tcBorders>
            <w:vAlign w:val="center"/>
          </w:tcPr>
          <w:p>
            <w:pPr>
              <w:keepNext w:val="0"/>
              <w:keepLines w:val="0"/>
              <w:widowControl/>
              <w:suppressLineNumbers w:val="0"/>
              <w:spacing w:beforeLines="0" w:afterLines="0" w:line="380" w:lineRule="exact"/>
              <w:ind w:left="0" w:leftChars="0"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rPr>
            </w:pPr>
            <w:r>
              <w:rPr>
                <w:rFonts w:hint="eastAsia" w:ascii="Times New Roman" w:hAnsi="Times New Roman" w:eastAsia="仿宋_GB2312" w:cs="仿宋_GB2312"/>
                <w:i w:val="0"/>
                <w:color w:val="auto"/>
                <w:kern w:val="0"/>
                <w:sz w:val="28"/>
                <w:szCs w:val="28"/>
                <w:u w:val="none"/>
                <w:shd w:val="clear" w:color="auto" w:fill="auto"/>
                <w:lang w:val="en-US" w:eastAsia="zh-CN" w:bidi="ar"/>
              </w:rPr>
              <w:t>一般公共预算财政拨款收入</w:t>
            </w:r>
          </w:p>
        </w:tc>
        <w:tc>
          <w:tcPr>
            <w:tcW w:w="1965"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12,247.71</w:t>
            </w:r>
          </w:p>
        </w:tc>
        <w:tc>
          <w:tcPr>
            <w:tcW w:w="2198"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23,817.92</w:t>
            </w:r>
          </w:p>
        </w:tc>
        <w:tc>
          <w:tcPr>
            <w:tcW w:w="1800"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23,817.92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5" w:hRule="atLeast"/>
          <w:jc w:val="center"/>
        </w:trPr>
        <w:tc>
          <w:tcPr>
            <w:tcW w:w="2944" w:type="dxa"/>
            <w:tcBorders>
              <w:tl2br w:val="nil"/>
              <w:tr2bl w:val="nil"/>
            </w:tcBorders>
            <w:vAlign w:val="center"/>
          </w:tcPr>
          <w:p>
            <w:pPr>
              <w:keepNext w:val="0"/>
              <w:keepLines w:val="0"/>
              <w:widowControl/>
              <w:suppressLineNumbers w:val="0"/>
              <w:spacing w:beforeLines="0" w:afterLines="0" w:line="380" w:lineRule="exact"/>
              <w:ind w:left="0" w:leftChars="0"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rPr>
            </w:pPr>
            <w:r>
              <w:rPr>
                <w:rFonts w:hint="eastAsia" w:ascii="Times New Roman" w:hAnsi="Times New Roman" w:eastAsia="仿宋_GB2312" w:cs="仿宋_GB2312"/>
                <w:i w:val="0"/>
                <w:color w:val="auto"/>
                <w:kern w:val="0"/>
                <w:sz w:val="28"/>
                <w:szCs w:val="28"/>
                <w:u w:val="none"/>
                <w:shd w:val="clear" w:color="auto" w:fill="auto"/>
                <w:lang w:val="en-US" w:eastAsia="zh-CN" w:bidi="ar"/>
              </w:rPr>
              <w:t>其他收入</w:t>
            </w:r>
          </w:p>
        </w:tc>
        <w:tc>
          <w:tcPr>
            <w:tcW w:w="1965"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0.00</w:t>
            </w:r>
          </w:p>
        </w:tc>
        <w:tc>
          <w:tcPr>
            <w:tcW w:w="2198"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0.00</w:t>
            </w:r>
          </w:p>
        </w:tc>
        <w:tc>
          <w:tcPr>
            <w:tcW w:w="1800"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784.58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7" w:hRule="atLeast"/>
          <w:jc w:val="center"/>
        </w:trPr>
        <w:tc>
          <w:tcPr>
            <w:tcW w:w="2944" w:type="dxa"/>
            <w:tcBorders>
              <w:tl2br w:val="nil"/>
              <w:tr2bl w:val="nil"/>
            </w:tcBorders>
            <w:vAlign w:val="center"/>
          </w:tcPr>
          <w:p>
            <w:pPr>
              <w:keepNext w:val="0"/>
              <w:keepLines w:val="0"/>
              <w:widowControl/>
              <w:suppressLineNumbers w:val="0"/>
              <w:spacing w:beforeLines="0" w:afterLines="0" w:line="380" w:lineRule="exact"/>
              <w:ind w:left="0" w:leftChars="0"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rPr>
            </w:pPr>
            <w:r>
              <w:rPr>
                <w:rFonts w:hint="eastAsia" w:ascii="Times New Roman" w:hAnsi="Times New Roman" w:eastAsia="仿宋_GB2312" w:cs="仿宋_GB2312"/>
                <w:i w:val="0"/>
                <w:color w:val="auto"/>
                <w:kern w:val="0"/>
                <w:sz w:val="28"/>
                <w:szCs w:val="28"/>
                <w:u w:val="none"/>
                <w:shd w:val="clear" w:color="auto" w:fill="auto"/>
                <w:lang w:val="en-US" w:eastAsia="zh-CN" w:bidi="ar"/>
              </w:rPr>
              <w:t>本年收入合计</w:t>
            </w:r>
          </w:p>
        </w:tc>
        <w:tc>
          <w:tcPr>
            <w:tcW w:w="1965"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rPr>
            </w:pPr>
            <w:r>
              <w:rPr>
                <w:rFonts w:hint="eastAsia" w:ascii="Times New Roman" w:hAnsi="Times New Roman" w:eastAsia="仿宋_GB2312" w:cs="仿宋_GB2312"/>
                <w:i w:val="0"/>
                <w:color w:val="auto"/>
                <w:sz w:val="28"/>
                <w:szCs w:val="28"/>
                <w:u w:val="none"/>
                <w:shd w:val="clear" w:color="auto" w:fill="auto"/>
                <w:lang w:val="en-US" w:eastAsia="zh-CN"/>
              </w:rPr>
              <w:t>12,247.71</w:t>
            </w:r>
          </w:p>
        </w:tc>
        <w:tc>
          <w:tcPr>
            <w:tcW w:w="2198"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rPr>
            </w:pPr>
            <w:r>
              <w:rPr>
                <w:rFonts w:hint="eastAsia" w:ascii="Times New Roman" w:hAnsi="Times New Roman" w:eastAsia="仿宋_GB2312" w:cs="仿宋_GB2312"/>
                <w:i w:val="0"/>
                <w:color w:val="auto"/>
                <w:sz w:val="28"/>
                <w:szCs w:val="28"/>
                <w:u w:val="none"/>
                <w:shd w:val="clear" w:color="auto" w:fill="auto"/>
                <w:lang w:val="en-US" w:eastAsia="zh-CN"/>
              </w:rPr>
              <w:t>23,817.92</w:t>
            </w:r>
          </w:p>
        </w:tc>
        <w:tc>
          <w:tcPr>
            <w:tcW w:w="1800"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rPr>
            </w:pPr>
            <w:r>
              <w:rPr>
                <w:rFonts w:hint="eastAsia" w:ascii="Times New Roman" w:hAnsi="Times New Roman" w:eastAsia="仿宋_GB2312" w:cs="仿宋_GB2312"/>
                <w:i w:val="0"/>
                <w:color w:val="auto"/>
                <w:sz w:val="28"/>
                <w:szCs w:val="28"/>
                <w:u w:val="none"/>
                <w:shd w:val="clear" w:color="auto" w:fill="auto"/>
                <w:lang w:val="en-US" w:eastAsia="zh-CN"/>
              </w:rPr>
              <w:t>24,602.50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20" w:hRule="atLeast"/>
          <w:jc w:val="center"/>
        </w:trPr>
        <w:tc>
          <w:tcPr>
            <w:tcW w:w="2944" w:type="dxa"/>
            <w:tcBorders>
              <w:tl2br w:val="nil"/>
              <w:tr2bl w:val="nil"/>
            </w:tcBorders>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sz w:val="28"/>
                <w:szCs w:val="28"/>
                <w:u w:val="none"/>
                <w:shd w:val="clear" w:color="auto" w:fill="auto"/>
              </w:rPr>
            </w:pPr>
            <w:r>
              <w:rPr>
                <w:rFonts w:hint="eastAsia" w:ascii="Times New Roman" w:hAnsi="Times New Roman" w:eastAsia="仿宋_GB2312" w:cs="仿宋_GB2312"/>
                <w:i w:val="0"/>
                <w:color w:val="auto"/>
                <w:kern w:val="0"/>
                <w:sz w:val="28"/>
                <w:szCs w:val="28"/>
                <w:u w:val="none"/>
                <w:shd w:val="clear" w:color="auto" w:fill="auto"/>
                <w:lang w:val="en-US" w:eastAsia="zh-CN" w:bidi="ar"/>
              </w:rPr>
              <w:t>年初结转和结余</w:t>
            </w:r>
          </w:p>
        </w:tc>
        <w:tc>
          <w:tcPr>
            <w:tcW w:w="1965"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0.00</w:t>
            </w:r>
          </w:p>
        </w:tc>
        <w:tc>
          <w:tcPr>
            <w:tcW w:w="2198"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5,714.73</w:t>
            </w:r>
          </w:p>
        </w:tc>
        <w:tc>
          <w:tcPr>
            <w:tcW w:w="1800"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rPr>
            </w:pPr>
            <w:r>
              <w:rPr>
                <w:rFonts w:hint="eastAsia" w:ascii="Times New Roman" w:hAnsi="Times New Roman" w:eastAsia="仿宋_GB2312" w:cs="仿宋_GB2312"/>
                <w:i w:val="0"/>
                <w:color w:val="auto"/>
                <w:sz w:val="28"/>
                <w:szCs w:val="28"/>
                <w:u w:val="none"/>
                <w:shd w:val="clear" w:color="auto" w:fill="auto"/>
                <w:lang w:val="en-US" w:eastAsia="zh-CN"/>
              </w:rPr>
              <w:t>5,714.73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6" w:hRule="atLeast"/>
          <w:jc w:val="center"/>
        </w:trPr>
        <w:tc>
          <w:tcPr>
            <w:tcW w:w="2944" w:type="dxa"/>
            <w:tcBorders>
              <w:tl2br w:val="nil"/>
              <w:tr2bl w:val="nil"/>
            </w:tcBorders>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sz w:val="28"/>
                <w:szCs w:val="28"/>
                <w:u w:val="none"/>
                <w:shd w:val="clear" w:color="auto" w:fill="auto"/>
              </w:rPr>
            </w:pPr>
            <w:r>
              <w:rPr>
                <w:rFonts w:hint="eastAsia" w:ascii="Times New Roman" w:hAnsi="Times New Roman" w:eastAsia="仿宋_GB2312" w:cs="仿宋_GB2312"/>
                <w:i w:val="0"/>
                <w:color w:val="auto"/>
                <w:kern w:val="0"/>
                <w:sz w:val="28"/>
                <w:szCs w:val="28"/>
                <w:u w:val="none"/>
                <w:shd w:val="clear" w:color="auto" w:fill="auto"/>
                <w:lang w:val="en-US" w:eastAsia="zh-CN" w:bidi="ar"/>
              </w:rPr>
              <w:t>总计</w:t>
            </w:r>
          </w:p>
        </w:tc>
        <w:tc>
          <w:tcPr>
            <w:tcW w:w="1965"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rPr>
            </w:pPr>
            <w:r>
              <w:rPr>
                <w:rFonts w:hint="eastAsia" w:ascii="Times New Roman" w:hAnsi="Times New Roman" w:eastAsia="仿宋_GB2312" w:cs="仿宋_GB2312"/>
                <w:i w:val="0"/>
                <w:color w:val="auto"/>
                <w:sz w:val="28"/>
                <w:szCs w:val="28"/>
                <w:u w:val="none"/>
                <w:shd w:val="clear" w:color="auto" w:fill="auto"/>
                <w:lang w:val="en-US" w:eastAsia="zh-CN"/>
              </w:rPr>
              <w:t>12,247.71</w:t>
            </w:r>
          </w:p>
        </w:tc>
        <w:tc>
          <w:tcPr>
            <w:tcW w:w="2198"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29,532.65</w:t>
            </w:r>
          </w:p>
        </w:tc>
        <w:tc>
          <w:tcPr>
            <w:tcW w:w="1800" w:type="dxa"/>
            <w:tcBorders>
              <w:tl2br w:val="nil"/>
              <w:tr2bl w:val="nil"/>
            </w:tcBorders>
            <w:vAlign w:val="center"/>
          </w:tcPr>
          <w:p>
            <w:pPr>
              <w:keepNext w:val="0"/>
              <w:keepLines w:val="0"/>
              <w:widowControl/>
              <w:suppressLineNumbers w:val="0"/>
              <w:spacing w:beforeLines="0" w:afterLines="0" w:line="240" w:lineRule="auto"/>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30,317.23</w:t>
            </w:r>
          </w:p>
        </w:tc>
      </w:tr>
    </w:tbl>
    <w:p>
      <w:pPr>
        <w:numPr>
          <w:ilvl w:val="0"/>
          <w:numId w:val="0"/>
        </w:numPr>
        <w:snapToGrid w:val="0"/>
        <w:spacing w:beforeLines="0" w:afterLines="0" w:line="360" w:lineRule="auto"/>
        <w:ind w:leftChars="200"/>
        <w:outlineLvl w:val="9"/>
        <w:rPr>
          <w:rFonts w:hint="eastAsia" w:ascii="Times New Roman" w:hAnsi="Times New Roman" w:eastAsia="仿宋_GB2312" w:cs="仿宋_GB2312"/>
          <w:b/>
          <w:bCs/>
          <w:sz w:val="30"/>
          <w:szCs w:val="30"/>
          <w:lang w:val="en-US" w:eastAsia="zh-CN"/>
        </w:rPr>
      </w:pPr>
      <w:bookmarkStart w:id="22" w:name="_Toc10187"/>
    </w:p>
    <w:p>
      <w:pPr>
        <w:keepNext w:val="0"/>
        <w:keepLines w:val="0"/>
        <w:pageBreakBefore w:val="0"/>
        <w:widowControl w:val="0"/>
        <w:numPr>
          <w:ilvl w:val="0"/>
          <w:numId w:val="8"/>
        </w:numPr>
        <w:kinsoku/>
        <w:wordWrap/>
        <w:overflowPunct/>
        <w:topLinePunct w:val="0"/>
        <w:autoSpaceDE/>
        <w:autoSpaceDN/>
        <w:bidi w:val="0"/>
        <w:snapToGrid w:val="0"/>
        <w:spacing w:line="560" w:lineRule="exact"/>
        <w:ind w:left="0" w:leftChars="0" w:firstLine="643" w:firstLineChars="200"/>
        <w:textAlignment w:val="auto"/>
        <w:outlineLvl w:val="2"/>
        <w:rPr>
          <w:rFonts w:hint="eastAsia" w:ascii="Times New Roman" w:hAnsi="Times New Roman" w:eastAsia="仿宋_GB2312" w:cs="仿宋_GB2312"/>
          <w:b/>
          <w:bCs/>
          <w:sz w:val="32"/>
          <w:szCs w:val="32"/>
          <w:lang w:val="en-US" w:eastAsia="zh-CN"/>
        </w:rPr>
      </w:pPr>
      <w:bookmarkStart w:id="23" w:name="_Toc5153"/>
      <w:r>
        <w:rPr>
          <w:rFonts w:hint="eastAsia" w:ascii="Times New Roman" w:hAnsi="Times New Roman" w:eastAsia="仿宋_GB2312" w:cs="仿宋_GB2312"/>
          <w:b/>
          <w:bCs/>
          <w:sz w:val="32"/>
          <w:szCs w:val="32"/>
          <w:lang w:val="en-US" w:eastAsia="zh-CN"/>
        </w:rPr>
        <w:t>部门整体支出情况</w:t>
      </w:r>
      <w:bookmarkEnd w:id="22"/>
      <w:bookmarkEnd w:id="23"/>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color w:val="000000"/>
          <w:sz w:val="32"/>
          <w:szCs w:val="32"/>
          <w:lang w:val="en-US" w:eastAsia="zh-CN"/>
        </w:rPr>
      </w:pPr>
      <w:r>
        <w:rPr>
          <w:rFonts w:hint="eastAsia" w:ascii="Times New Roman" w:hAnsi="Times New Roman" w:eastAsia="仿宋_GB2312" w:cs="仿宋_GB2312"/>
          <w:color w:val="000000"/>
          <w:sz w:val="32"/>
          <w:szCs w:val="32"/>
        </w:rPr>
        <w:t>20</w:t>
      </w:r>
      <w:r>
        <w:rPr>
          <w:rFonts w:hint="eastAsia" w:ascii="Times New Roman" w:hAnsi="Times New Roman" w:eastAsia="仿宋_GB2312" w:cs="仿宋_GB2312"/>
          <w:color w:val="000000"/>
          <w:sz w:val="32"/>
          <w:szCs w:val="32"/>
          <w:lang w:val="en-US" w:eastAsia="zh-CN"/>
        </w:rPr>
        <w:t>22</w:t>
      </w:r>
      <w:r>
        <w:rPr>
          <w:rFonts w:hint="eastAsia" w:ascii="Times New Roman" w:hAnsi="Times New Roman" w:eastAsia="仿宋_GB2312" w:cs="仿宋_GB2312"/>
          <w:color w:val="000000"/>
          <w:sz w:val="32"/>
          <w:szCs w:val="32"/>
        </w:rPr>
        <w:t>年部门支出合计</w:t>
      </w:r>
      <w:r>
        <w:rPr>
          <w:rFonts w:hint="eastAsia" w:ascii="Times New Roman" w:hAnsi="Times New Roman" w:eastAsia="仿宋_GB2312" w:cs="仿宋_GB2312"/>
          <w:i w:val="0"/>
          <w:color w:val="000000"/>
          <w:kern w:val="0"/>
          <w:sz w:val="32"/>
          <w:szCs w:val="32"/>
          <w:u w:val="none"/>
          <w:lang w:val="en-US" w:eastAsia="zh-CN" w:bidi="ar"/>
        </w:rPr>
        <w:t>28,365.03</w:t>
      </w:r>
      <w:r>
        <w:rPr>
          <w:rFonts w:hint="eastAsia" w:ascii="Times New Roman" w:hAnsi="Times New Roman" w:eastAsia="仿宋_GB2312" w:cs="仿宋_GB2312"/>
          <w:color w:val="000000"/>
          <w:sz w:val="32"/>
          <w:szCs w:val="32"/>
        </w:rPr>
        <w:t>万元。</w:t>
      </w:r>
      <w:r>
        <w:rPr>
          <w:rFonts w:hint="eastAsia" w:ascii="Times New Roman" w:hAnsi="Times New Roman" w:eastAsia="仿宋_GB2312" w:cs="仿宋_GB2312"/>
          <w:color w:val="000000"/>
          <w:sz w:val="32"/>
          <w:szCs w:val="32"/>
          <w:lang w:val="en-US" w:eastAsia="zh-CN"/>
        </w:rPr>
        <w:t>按支出性质分类，2022年部门整体支出分为2类，其中：基本支出占比26.97%，项目支出占比73.03%。具体支出情况见表1-4。</w:t>
      </w:r>
    </w:p>
    <w:p>
      <w:pPr>
        <w:keepNext w:val="0"/>
        <w:keepLines w:val="0"/>
        <w:pageBreakBefore w:val="0"/>
        <w:widowControl w:val="0"/>
        <w:kinsoku/>
        <w:wordWrap/>
        <w:overflowPunct/>
        <w:topLinePunct w:val="0"/>
        <w:autoSpaceDE/>
        <w:autoSpaceDN/>
        <w:bidi w:val="0"/>
        <w:spacing w:line="560" w:lineRule="exact"/>
        <w:textAlignment w:val="auto"/>
        <w:rPr>
          <w:rFonts w:hint="eastAsia"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contextualSpacing/>
        <w:jc w:val="center"/>
        <w:textAlignment w:val="auto"/>
        <w:rPr>
          <w:rFonts w:hint="eastAsia" w:ascii="Times New Roman" w:hAnsi="Times New Roman" w:eastAsia="仿宋_GB2312" w:cs="仿宋_GB2312"/>
          <w:b/>
          <w:bCs/>
          <w:color w:val="000000"/>
          <w:sz w:val="32"/>
          <w:szCs w:val="32"/>
        </w:rPr>
      </w:pPr>
      <w:r>
        <w:rPr>
          <w:rFonts w:hint="eastAsia" w:ascii="Times New Roman" w:hAnsi="Times New Roman" w:eastAsia="仿宋_GB2312" w:cs="仿宋_GB2312"/>
          <w:b/>
          <w:bCs/>
          <w:color w:val="000000"/>
          <w:sz w:val="32"/>
          <w:szCs w:val="32"/>
        </w:rPr>
        <w:t>表1-</w:t>
      </w:r>
      <w:r>
        <w:rPr>
          <w:rFonts w:hint="eastAsia" w:ascii="Times New Roman" w:hAnsi="Times New Roman" w:eastAsia="仿宋_GB2312" w:cs="仿宋_GB2312"/>
          <w:b/>
          <w:bCs/>
          <w:color w:val="000000"/>
          <w:sz w:val="32"/>
          <w:szCs w:val="32"/>
          <w:lang w:val="en-US" w:eastAsia="zh-CN"/>
        </w:rPr>
        <w:t>4</w:t>
      </w:r>
      <w:r>
        <w:rPr>
          <w:rFonts w:hint="eastAsia" w:ascii="Times New Roman" w:hAnsi="Times New Roman" w:eastAsia="仿宋_GB2312" w:cs="仿宋_GB2312"/>
          <w:b/>
          <w:bCs/>
          <w:color w:val="000000"/>
          <w:sz w:val="32"/>
          <w:szCs w:val="32"/>
        </w:rPr>
        <w:t xml:space="preserve"> </w:t>
      </w:r>
      <w:r>
        <w:rPr>
          <w:rFonts w:hint="eastAsia" w:ascii="Times New Roman" w:hAnsi="Times New Roman" w:eastAsia="仿宋_GB2312" w:cs="仿宋_GB2312"/>
          <w:b/>
          <w:bCs/>
          <w:color w:val="000000"/>
          <w:sz w:val="32"/>
          <w:szCs w:val="32"/>
          <w:lang w:val="en-US" w:eastAsia="zh-CN"/>
        </w:rPr>
        <w:t>2022年</w:t>
      </w:r>
      <w:r>
        <w:rPr>
          <w:rFonts w:hint="eastAsia" w:ascii="Times New Roman" w:hAnsi="Times New Roman" w:eastAsia="仿宋_GB2312" w:cs="仿宋_GB2312"/>
          <w:b/>
          <w:bCs/>
          <w:color w:val="000000"/>
          <w:sz w:val="32"/>
          <w:szCs w:val="32"/>
        </w:rPr>
        <w:t>部门整体支出基本情况</w:t>
      </w:r>
    </w:p>
    <w:tbl>
      <w:tblPr>
        <w:tblStyle w:val="7"/>
        <w:tblpPr w:leftFromText="180" w:rightFromText="180" w:vertAnchor="text" w:horzAnchor="page" w:tblpX="1403" w:tblpY="320"/>
        <w:tblOverlap w:val="never"/>
        <w:tblW w:w="90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2211"/>
        <w:gridCol w:w="1715"/>
        <w:gridCol w:w="2086"/>
        <w:gridCol w:w="1814"/>
        <w:gridCol w:w="1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60" w:hRule="atLeast"/>
        </w:trPr>
        <w:tc>
          <w:tcPr>
            <w:tcW w:w="2211" w:type="dxa"/>
            <w:tcBorders>
              <w:tl2br w:val="nil"/>
              <w:tr2bl w:val="nil"/>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黑体" w:cs="黑体"/>
                <w:b w:val="0"/>
                <w:bCs w:val="0"/>
                <w:i w:val="0"/>
                <w:color w:val="000000"/>
                <w:sz w:val="28"/>
                <w:szCs w:val="28"/>
                <w:u w:val="none"/>
              </w:rPr>
            </w:pPr>
            <w:r>
              <w:rPr>
                <w:rFonts w:hint="eastAsia" w:ascii="Times New Roman" w:hAnsi="Times New Roman" w:eastAsia="黑体" w:cs="黑体"/>
                <w:b w:val="0"/>
                <w:bCs w:val="0"/>
                <w:i w:val="0"/>
                <w:color w:val="000000"/>
                <w:kern w:val="0"/>
                <w:sz w:val="28"/>
                <w:szCs w:val="28"/>
                <w:u w:val="none"/>
                <w:lang w:val="en-US" w:eastAsia="zh-CN" w:bidi="ar"/>
              </w:rPr>
              <w:t>项目</w:t>
            </w:r>
          </w:p>
        </w:tc>
        <w:tc>
          <w:tcPr>
            <w:tcW w:w="1715" w:type="dxa"/>
            <w:tcBorders>
              <w:tl2br w:val="nil"/>
              <w:tr2bl w:val="nil"/>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left="0" w:leftChars="0" w:firstLine="0" w:firstLineChars="0"/>
              <w:jc w:val="center"/>
              <w:textAlignment w:val="center"/>
              <w:rPr>
                <w:rFonts w:hint="eastAsia" w:ascii="Times New Roman" w:hAnsi="Times New Roman" w:eastAsia="黑体" w:cs="黑体"/>
                <w:b w:val="0"/>
                <w:bCs w:val="0"/>
                <w:i w:val="0"/>
                <w:color w:val="000000"/>
                <w:kern w:val="0"/>
                <w:sz w:val="28"/>
                <w:szCs w:val="28"/>
                <w:u w:val="none"/>
                <w:lang w:val="en-US" w:eastAsia="zh-CN" w:bidi="ar"/>
              </w:rPr>
            </w:pPr>
            <w:r>
              <w:rPr>
                <w:rFonts w:hint="eastAsia" w:ascii="Times New Roman" w:hAnsi="Times New Roman" w:eastAsia="黑体" w:cs="黑体"/>
                <w:b w:val="0"/>
                <w:bCs w:val="0"/>
                <w:i w:val="0"/>
                <w:color w:val="000000"/>
                <w:kern w:val="0"/>
                <w:sz w:val="28"/>
                <w:szCs w:val="28"/>
                <w:u w:val="none"/>
                <w:lang w:val="en-US" w:eastAsia="zh-CN" w:bidi="ar"/>
              </w:rPr>
              <w:t>年初预算数</w:t>
            </w:r>
          </w:p>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left="0" w:leftChars="0" w:firstLine="0" w:firstLineChars="0"/>
              <w:jc w:val="center"/>
              <w:textAlignment w:val="center"/>
              <w:rPr>
                <w:rFonts w:hint="eastAsia" w:ascii="Times New Roman" w:hAnsi="Times New Roman" w:eastAsia="黑体" w:cs="黑体"/>
                <w:b w:val="0"/>
                <w:bCs w:val="0"/>
                <w:i w:val="0"/>
                <w:color w:val="000000"/>
                <w:sz w:val="28"/>
                <w:szCs w:val="28"/>
                <w:u w:val="none"/>
              </w:rPr>
            </w:pPr>
            <w:r>
              <w:rPr>
                <w:rFonts w:hint="eastAsia" w:ascii="Times New Roman" w:hAnsi="Times New Roman" w:eastAsia="黑体" w:cs="黑体"/>
                <w:b w:val="0"/>
                <w:bCs w:val="0"/>
                <w:i w:val="0"/>
                <w:color w:val="000000"/>
                <w:kern w:val="0"/>
                <w:sz w:val="28"/>
                <w:szCs w:val="28"/>
                <w:u w:val="none"/>
                <w:lang w:val="en-US" w:eastAsia="zh-CN" w:bidi="ar"/>
              </w:rPr>
              <w:t>（万元）</w:t>
            </w:r>
          </w:p>
        </w:tc>
        <w:tc>
          <w:tcPr>
            <w:tcW w:w="2086" w:type="dxa"/>
            <w:tcBorders>
              <w:tl2br w:val="nil"/>
              <w:tr2bl w:val="nil"/>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left="0" w:leftChars="0" w:firstLine="0" w:firstLineChars="0"/>
              <w:jc w:val="center"/>
              <w:textAlignment w:val="center"/>
              <w:rPr>
                <w:rFonts w:hint="eastAsia" w:ascii="Times New Roman" w:hAnsi="Times New Roman" w:eastAsia="黑体" w:cs="黑体"/>
                <w:b w:val="0"/>
                <w:bCs w:val="0"/>
                <w:i w:val="0"/>
                <w:color w:val="000000"/>
                <w:kern w:val="0"/>
                <w:sz w:val="28"/>
                <w:szCs w:val="28"/>
                <w:u w:val="none"/>
                <w:lang w:val="en-US" w:eastAsia="zh-CN" w:bidi="ar"/>
              </w:rPr>
            </w:pPr>
            <w:r>
              <w:rPr>
                <w:rFonts w:hint="eastAsia" w:ascii="Times New Roman" w:hAnsi="Times New Roman" w:eastAsia="黑体" w:cs="黑体"/>
                <w:b w:val="0"/>
                <w:bCs w:val="0"/>
                <w:i w:val="0"/>
                <w:color w:val="000000"/>
                <w:kern w:val="0"/>
                <w:sz w:val="28"/>
                <w:szCs w:val="28"/>
                <w:u w:val="none"/>
                <w:lang w:val="en-US" w:eastAsia="zh-CN" w:bidi="ar"/>
              </w:rPr>
              <w:t>调整预算数</w:t>
            </w:r>
          </w:p>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left="0" w:leftChars="0" w:firstLine="0" w:firstLineChars="0"/>
              <w:jc w:val="center"/>
              <w:textAlignment w:val="center"/>
              <w:rPr>
                <w:rFonts w:hint="eastAsia" w:ascii="Times New Roman" w:hAnsi="Times New Roman" w:eastAsia="黑体" w:cs="黑体"/>
                <w:b w:val="0"/>
                <w:bCs w:val="0"/>
                <w:i w:val="0"/>
                <w:color w:val="000000"/>
                <w:sz w:val="28"/>
                <w:szCs w:val="28"/>
                <w:u w:val="none"/>
              </w:rPr>
            </w:pPr>
            <w:r>
              <w:rPr>
                <w:rFonts w:hint="eastAsia" w:ascii="Times New Roman" w:hAnsi="Times New Roman" w:eastAsia="黑体" w:cs="黑体"/>
                <w:b w:val="0"/>
                <w:bCs w:val="0"/>
                <w:i w:val="0"/>
                <w:color w:val="000000"/>
                <w:kern w:val="0"/>
                <w:sz w:val="28"/>
                <w:szCs w:val="28"/>
                <w:u w:val="none"/>
                <w:lang w:val="en-US" w:eastAsia="zh-CN" w:bidi="ar"/>
              </w:rPr>
              <w:t>（万元）</w:t>
            </w:r>
          </w:p>
        </w:tc>
        <w:tc>
          <w:tcPr>
            <w:tcW w:w="1814" w:type="dxa"/>
            <w:tcBorders>
              <w:tl2br w:val="nil"/>
              <w:tr2bl w:val="nil"/>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left="0" w:leftChars="0" w:firstLine="0" w:firstLineChars="0"/>
              <w:jc w:val="center"/>
              <w:textAlignment w:val="center"/>
              <w:rPr>
                <w:rFonts w:hint="eastAsia" w:ascii="Times New Roman" w:hAnsi="Times New Roman" w:eastAsia="黑体" w:cs="黑体"/>
                <w:b w:val="0"/>
                <w:bCs w:val="0"/>
                <w:i w:val="0"/>
                <w:color w:val="000000"/>
                <w:kern w:val="0"/>
                <w:sz w:val="28"/>
                <w:szCs w:val="28"/>
                <w:u w:val="none"/>
                <w:lang w:val="en-US" w:eastAsia="zh-CN" w:bidi="ar"/>
              </w:rPr>
            </w:pPr>
            <w:r>
              <w:rPr>
                <w:rFonts w:hint="eastAsia" w:ascii="Times New Roman" w:hAnsi="Times New Roman" w:eastAsia="黑体" w:cs="黑体"/>
                <w:b w:val="0"/>
                <w:bCs w:val="0"/>
                <w:i w:val="0"/>
                <w:color w:val="000000"/>
                <w:kern w:val="0"/>
                <w:sz w:val="28"/>
                <w:szCs w:val="28"/>
                <w:u w:val="none"/>
                <w:lang w:val="en-US" w:eastAsia="zh-CN" w:bidi="ar"/>
              </w:rPr>
              <w:t>决算数</w:t>
            </w:r>
          </w:p>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left="0" w:leftChars="0" w:firstLine="0" w:firstLineChars="0"/>
              <w:jc w:val="center"/>
              <w:textAlignment w:val="center"/>
              <w:rPr>
                <w:rFonts w:hint="eastAsia" w:ascii="Times New Roman" w:hAnsi="Times New Roman" w:eastAsia="黑体" w:cs="黑体"/>
                <w:b w:val="0"/>
                <w:bCs w:val="0"/>
                <w:i w:val="0"/>
                <w:color w:val="000000"/>
                <w:sz w:val="28"/>
                <w:szCs w:val="28"/>
                <w:u w:val="none"/>
              </w:rPr>
            </w:pPr>
            <w:r>
              <w:rPr>
                <w:rFonts w:hint="eastAsia" w:ascii="Times New Roman" w:hAnsi="Times New Roman" w:eastAsia="黑体" w:cs="黑体"/>
                <w:b w:val="0"/>
                <w:bCs w:val="0"/>
                <w:i w:val="0"/>
                <w:color w:val="000000"/>
                <w:kern w:val="0"/>
                <w:sz w:val="28"/>
                <w:szCs w:val="28"/>
                <w:u w:val="none"/>
                <w:lang w:val="en-US" w:eastAsia="zh-CN" w:bidi="ar"/>
              </w:rPr>
              <w:t>（万元）</w:t>
            </w:r>
          </w:p>
        </w:tc>
        <w:tc>
          <w:tcPr>
            <w:tcW w:w="1272" w:type="dxa"/>
            <w:tcBorders>
              <w:tl2br w:val="nil"/>
              <w:tr2bl w:val="nil"/>
            </w:tcBorders>
            <w:shd w:val="clear" w:color="FFFFFF" w:fill="C0C0C0"/>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left="0" w:leftChars="0" w:firstLine="0" w:firstLineChars="0"/>
              <w:jc w:val="center"/>
              <w:textAlignment w:val="center"/>
              <w:rPr>
                <w:rFonts w:hint="eastAsia" w:ascii="Times New Roman" w:hAnsi="Times New Roman" w:eastAsia="黑体" w:cs="黑体"/>
                <w:b w:val="0"/>
                <w:bCs w:val="0"/>
                <w:i w:val="0"/>
                <w:color w:val="000000"/>
                <w:kern w:val="0"/>
                <w:sz w:val="28"/>
                <w:szCs w:val="28"/>
                <w:u w:val="none"/>
                <w:lang w:val="en-US" w:eastAsia="zh-CN" w:bidi="ar"/>
              </w:rPr>
            </w:pPr>
            <w:r>
              <w:rPr>
                <w:rFonts w:hint="eastAsia" w:ascii="Times New Roman" w:hAnsi="Times New Roman" w:eastAsia="黑体" w:cs="黑体"/>
                <w:b w:val="0"/>
                <w:bCs w:val="0"/>
                <w:i w:val="0"/>
                <w:color w:val="000000"/>
                <w:kern w:val="0"/>
                <w:sz w:val="28"/>
                <w:szCs w:val="28"/>
                <w:u w:val="none"/>
                <w:lang w:val="en-US" w:eastAsia="zh-CN" w:bidi="ar"/>
              </w:rPr>
              <w:t>占比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0" w:hRule="atLeast"/>
        </w:trPr>
        <w:tc>
          <w:tcPr>
            <w:tcW w:w="221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left="0" w:leftChars="0" w:firstLine="0" w:firstLineChars="0"/>
              <w:jc w:val="center"/>
              <w:textAlignment w:val="center"/>
              <w:rPr>
                <w:rFonts w:hint="eastAsia"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一、基本支出</w:t>
            </w:r>
          </w:p>
        </w:tc>
        <w:tc>
          <w:tcPr>
            <w:tcW w:w="17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6,272.71</w:t>
            </w:r>
          </w:p>
        </w:tc>
        <w:tc>
          <w:tcPr>
            <w:tcW w:w="20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7,651.43</w:t>
            </w:r>
          </w:p>
        </w:tc>
        <w:tc>
          <w:tcPr>
            <w:tcW w:w="18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7,650.89</w:t>
            </w:r>
          </w:p>
        </w:tc>
        <w:tc>
          <w:tcPr>
            <w:tcW w:w="12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26.97%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0" w:hRule="atLeast"/>
        </w:trPr>
        <w:tc>
          <w:tcPr>
            <w:tcW w:w="221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left="0" w:leftChars="0" w:firstLine="0" w:firstLineChars="0"/>
              <w:jc w:val="center"/>
              <w:textAlignment w:val="center"/>
              <w:rPr>
                <w:rFonts w:hint="eastAsia"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1、人员经费</w:t>
            </w:r>
          </w:p>
        </w:tc>
        <w:tc>
          <w:tcPr>
            <w:tcW w:w="17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5,460.66</w:t>
            </w:r>
          </w:p>
        </w:tc>
        <w:tc>
          <w:tcPr>
            <w:tcW w:w="20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6,958.09</w:t>
            </w:r>
          </w:p>
        </w:tc>
        <w:tc>
          <w:tcPr>
            <w:tcW w:w="18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6,957.55</w:t>
            </w:r>
          </w:p>
        </w:tc>
        <w:tc>
          <w:tcPr>
            <w:tcW w:w="12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24.53%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0" w:hRule="atLeast"/>
        </w:trPr>
        <w:tc>
          <w:tcPr>
            <w:tcW w:w="221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left="0" w:leftChars="0" w:firstLine="0" w:firstLineChars="0"/>
              <w:jc w:val="center"/>
              <w:textAlignment w:val="center"/>
              <w:rPr>
                <w:rFonts w:hint="eastAsia"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2、公用经费</w:t>
            </w:r>
          </w:p>
        </w:tc>
        <w:tc>
          <w:tcPr>
            <w:tcW w:w="17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812.05</w:t>
            </w:r>
          </w:p>
        </w:tc>
        <w:tc>
          <w:tcPr>
            <w:tcW w:w="20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693.34</w:t>
            </w:r>
          </w:p>
        </w:tc>
        <w:tc>
          <w:tcPr>
            <w:tcW w:w="18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693.34</w:t>
            </w:r>
          </w:p>
        </w:tc>
        <w:tc>
          <w:tcPr>
            <w:tcW w:w="12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2.44%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0" w:hRule="atLeast"/>
        </w:trPr>
        <w:tc>
          <w:tcPr>
            <w:tcW w:w="221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left="0" w:leftChars="0" w:firstLine="0" w:firstLineChars="0"/>
              <w:jc w:val="center"/>
              <w:textAlignment w:val="center"/>
              <w:rPr>
                <w:rFonts w:hint="eastAsia"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二、项目支出</w:t>
            </w:r>
          </w:p>
        </w:tc>
        <w:tc>
          <w:tcPr>
            <w:tcW w:w="17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5,975.00</w:t>
            </w:r>
          </w:p>
        </w:tc>
        <w:tc>
          <w:tcPr>
            <w:tcW w:w="20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21,881.22</w:t>
            </w:r>
          </w:p>
        </w:tc>
        <w:tc>
          <w:tcPr>
            <w:tcW w:w="18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20,714.14</w:t>
            </w:r>
          </w:p>
        </w:tc>
        <w:tc>
          <w:tcPr>
            <w:tcW w:w="12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73.03%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0" w:hRule="atLeast"/>
        </w:trPr>
        <w:tc>
          <w:tcPr>
            <w:tcW w:w="2211"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left="0" w:leftChars="0" w:firstLine="0" w:firstLineChars="0"/>
              <w:jc w:val="center"/>
              <w:textAlignment w:val="center"/>
              <w:rPr>
                <w:rFonts w:hint="eastAsia"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三、本年支出合计</w:t>
            </w:r>
          </w:p>
        </w:tc>
        <w:tc>
          <w:tcPr>
            <w:tcW w:w="1715"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12,247.71</w:t>
            </w:r>
          </w:p>
        </w:tc>
        <w:tc>
          <w:tcPr>
            <w:tcW w:w="208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29,532.65</w:t>
            </w:r>
          </w:p>
        </w:tc>
        <w:tc>
          <w:tcPr>
            <w:tcW w:w="181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28,365.03</w:t>
            </w:r>
          </w:p>
        </w:tc>
        <w:tc>
          <w:tcPr>
            <w:tcW w:w="127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Lines="0" w:afterLines="0" w:line="400" w:lineRule="exact"/>
              <w:ind w:firstLine="0" w:firstLineChars="0"/>
              <w:jc w:val="center"/>
              <w:textAlignment w:val="center"/>
              <w:rPr>
                <w:rFonts w:hint="eastAsia" w:ascii="Times New Roman" w:hAnsi="Times New Roman" w:eastAsia="仿宋_GB2312" w:cs="仿宋_GB2312"/>
                <w:i w:val="0"/>
                <w:color w:val="auto"/>
                <w:sz w:val="28"/>
                <w:szCs w:val="28"/>
                <w:u w:val="none"/>
                <w:shd w:val="clear" w:color="auto" w:fill="auto"/>
                <w:lang w:val="en-US" w:eastAsia="zh-CN"/>
              </w:rPr>
            </w:pPr>
            <w:r>
              <w:rPr>
                <w:rFonts w:hint="eastAsia" w:ascii="Times New Roman" w:hAnsi="Times New Roman" w:eastAsia="仿宋_GB2312" w:cs="仿宋_GB2312"/>
                <w:i w:val="0"/>
                <w:color w:val="auto"/>
                <w:sz w:val="28"/>
                <w:szCs w:val="28"/>
                <w:u w:val="none"/>
                <w:shd w:val="clear" w:color="auto" w:fill="auto"/>
                <w:lang w:val="en-US" w:eastAsia="zh-CN"/>
              </w:rPr>
              <w:t>100%</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Times New Roman" w:hAnsi="Times New Roman" w:eastAsia="黑体" w:cs="黑体"/>
          <w:bCs/>
          <w:sz w:val="32"/>
          <w:szCs w:val="32"/>
        </w:rPr>
      </w:pPr>
      <w:bookmarkStart w:id="24" w:name="_Toc7980"/>
      <w:bookmarkStart w:id="25" w:name="_Toc11928"/>
      <w:r>
        <w:rPr>
          <w:rFonts w:hint="eastAsia" w:ascii="Times New Roman" w:hAnsi="Times New Roman" w:eastAsia="黑体" w:cs="黑体"/>
          <w:bCs/>
          <w:sz w:val="32"/>
          <w:szCs w:val="32"/>
        </w:rPr>
        <w:t>二、绩效自评情况</w:t>
      </w:r>
      <w:bookmarkEnd w:id="24"/>
      <w:bookmarkEnd w:id="25"/>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outlineLvl w:val="1"/>
        <w:rPr>
          <w:rFonts w:hint="eastAsia" w:ascii="Times New Roman" w:hAnsi="Times New Roman" w:eastAsia="CESI楷体-GB2312" w:cs="CESI楷体-GB2312"/>
          <w:b/>
          <w:bCs/>
          <w:sz w:val="32"/>
          <w:szCs w:val="32"/>
        </w:rPr>
      </w:pPr>
      <w:bookmarkStart w:id="26" w:name="_Toc30869"/>
      <w:bookmarkStart w:id="27" w:name="_Toc9633"/>
      <w:r>
        <w:rPr>
          <w:rFonts w:hint="eastAsia" w:ascii="Times New Roman" w:hAnsi="Times New Roman" w:eastAsia="CESI楷体-GB2312" w:cs="CESI楷体-GB2312"/>
          <w:b/>
          <w:bCs/>
          <w:sz w:val="32"/>
          <w:szCs w:val="32"/>
        </w:rPr>
        <w:t>（一）自评结论</w:t>
      </w:r>
      <w:bookmarkEnd w:id="26"/>
      <w:bookmarkEnd w:id="27"/>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我总队按照财政资金预算绩效管理的有关规定，从履行部门职能职责对预算资金的需求出发，按照省财政厅有关部门预算管理的要求和工作程序编报预算、决算；预算资金分配、使用和会计核算合理合规，有效保障了本年度省委省政府方针政策、工作部署和部门履职要求；</w:t>
      </w:r>
      <w:r>
        <w:rPr>
          <w:rFonts w:hint="eastAsia" w:ascii="Times New Roman" w:hAnsi="Times New Roman" w:eastAsia="仿宋_GB2312" w:cs="仿宋_GB2312"/>
          <w:sz w:val="32"/>
          <w:szCs w:val="32"/>
        </w:rPr>
        <w:t>预算使用效益整体表现较好，</w:t>
      </w:r>
      <w:r>
        <w:rPr>
          <w:rFonts w:hint="eastAsia" w:ascii="Times New Roman" w:hAnsi="Times New Roman" w:eastAsia="仿宋_GB2312" w:cs="仿宋_GB2312"/>
          <w:sz w:val="32"/>
          <w:szCs w:val="32"/>
          <w:lang w:val="en-US" w:eastAsia="zh-CN"/>
        </w:rPr>
        <w:t>社会、生态效益成果显著，</w:t>
      </w:r>
      <w:r>
        <w:rPr>
          <w:rFonts w:hint="eastAsia" w:ascii="Times New Roman" w:hAnsi="Times New Roman" w:eastAsia="仿宋_GB2312" w:cs="仿宋_GB2312"/>
          <w:sz w:val="32"/>
          <w:szCs w:val="32"/>
        </w:rPr>
        <w:t>达到预算使用的预期</w:t>
      </w:r>
      <w:r>
        <w:rPr>
          <w:rFonts w:hint="eastAsia" w:ascii="Times New Roman" w:hAnsi="Times New Roman" w:eastAsia="仿宋_GB2312" w:cs="仿宋_GB2312"/>
          <w:sz w:val="32"/>
          <w:szCs w:val="32"/>
          <w:lang w:val="en-US" w:eastAsia="zh-CN"/>
        </w:rPr>
        <w:t>目标</w:t>
      </w:r>
      <w:r>
        <w:rPr>
          <w:rFonts w:hint="eastAsia" w:ascii="Times New Roman" w:hAnsi="Times New Roman" w:eastAsia="仿宋_GB2312" w:cs="仿宋_GB2312"/>
          <w:sz w:val="32"/>
          <w:szCs w:val="32"/>
        </w:rPr>
        <w:t>。</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根据《部门整体支出绩效自评指标评分表（无专项资金）》，我总队2022年</w:t>
      </w:r>
      <w:r>
        <w:rPr>
          <w:rFonts w:hint="eastAsia" w:ascii="Times New Roman" w:hAnsi="Times New Roman" w:eastAsia="仿宋_GB2312" w:cs="仿宋_GB2312"/>
          <w:sz w:val="32"/>
          <w:szCs w:val="32"/>
          <w:highlight w:val="none"/>
          <w:lang w:val="en-US" w:eastAsia="zh-CN"/>
        </w:rPr>
        <w:t>部门整体支出绩效自评得分为</w:t>
      </w:r>
      <w:r>
        <w:rPr>
          <w:rFonts w:hint="eastAsia" w:ascii="Times New Roman" w:hAnsi="Times New Roman" w:cs="仿宋_GB2312"/>
          <w:sz w:val="32"/>
          <w:szCs w:val="32"/>
          <w:highlight w:val="none"/>
          <w:lang w:val="en-US" w:eastAsia="zh-CN"/>
        </w:rPr>
        <w:t>95.17</w:t>
      </w:r>
      <w:r>
        <w:rPr>
          <w:rFonts w:hint="eastAsia" w:ascii="Times New Roman" w:hAnsi="Times New Roman" w:eastAsia="仿宋_GB2312" w:cs="仿宋_GB2312"/>
          <w:sz w:val="32"/>
          <w:szCs w:val="32"/>
          <w:highlight w:val="none"/>
          <w:lang w:val="en-US" w:eastAsia="zh-CN"/>
        </w:rPr>
        <w:t>分，绩效等级为“优”。具体自评得分情况如表 2-1、表 2-2所示。</w:t>
      </w:r>
    </w:p>
    <w:p>
      <w:pPr>
        <w:adjustRightInd w:val="0"/>
        <w:snapToGrid w:val="0"/>
        <w:spacing w:beforeLines="0" w:afterLines="0" w:line="580" w:lineRule="exact"/>
        <w:ind w:firstLine="643" w:firstLineChars="200"/>
        <w:contextualSpacing/>
        <w:jc w:val="center"/>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表 2-1 部门整体支出一级指标总得分情况表</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shd w:val="clear" w:color="auto" w:fill="CFCECE" w:themeFill="background2" w:themeFillShade="E5"/>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b w:val="0"/>
                <w:bCs w:val="0"/>
                <w:i w:val="0"/>
                <w:color w:val="auto"/>
                <w:kern w:val="0"/>
                <w:sz w:val="28"/>
                <w:szCs w:val="28"/>
                <w:u w:val="none"/>
                <w:shd w:val="clear" w:color="auto" w:fill="auto"/>
                <w:lang w:val="en-US" w:eastAsia="zh-CN" w:bidi="ar"/>
              </w:rPr>
            </w:pPr>
            <w:r>
              <w:rPr>
                <w:rFonts w:hint="eastAsia" w:ascii="Times New Roman" w:hAnsi="Times New Roman" w:eastAsia="黑体" w:cs="黑体"/>
                <w:b w:val="0"/>
                <w:bCs w:val="0"/>
                <w:i w:val="0"/>
                <w:color w:val="auto"/>
                <w:kern w:val="0"/>
                <w:sz w:val="28"/>
                <w:szCs w:val="28"/>
                <w:u w:val="none"/>
                <w:shd w:val="clear" w:color="auto" w:fill="auto"/>
                <w:lang w:val="en-US" w:eastAsia="zh-CN" w:bidi="ar"/>
              </w:rPr>
              <w:t>分值名称</w:t>
            </w:r>
          </w:p>
        </w:tc>
        <w:tc>
          <w:tcPr>
            <w:tcW w:w="2130" w:type="dxa"/>
            <w:shd w:val="clear" w:color="auto" w:fill="CFCECE" w:themeFill="background2" w:themeFillShade="E5"/>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b w:val="0"/>
                <w:bCs w:val="0"/>
                <w:i w:val="0"/>
                <w:color w:val="auto"/>
                <w:kern w:val="0"/>
                <w:sz w:val="28"/>
                <w:szCs w:val="28"/>
                <w:u w:val="none"/>
                <w:shd w:val="clear" w:color="auto" w:fill="auto"/>
                <w:lang w:val="en-US" w:eastAsia="zh-CN" w:bidi="ar"/>
              </w:rPr>
            </w:pPr>
            <w:r>
              <w:rPr>
                <w:rFonts w:hint="eastAsia" w:ascii="Times New Roman" w:hAnsi="Times New Roman" w:eastAsia="黑体" w:cs="黑体"/>
                <w:b w:val="0"/>
                <w:bCs w:val="0"/>
                <w:i w:val="0"/>
                <w:color w:val="auto"/>
                <w:kern w:val="0"/>
                <w:sz w:val="28"/>
                <w:szCs w:val="28"/>
                <w:u w:val="none"/>
                <w:shd w:val="clear" w:color="auto" w:fill="auto"/>
                <w:lang w:val="en-US" w:eastAsia="zh-CN" w:bidi="ar"/>
              </w:rPr>
              <w:t>履职效能</w:t>
            </w:r>
          </w:p>
        </w:tc>
        <w:tc>
          <w:tcPr>
            <w:tcW w:w="2131" w:type="dxa"/>
            <w:shd w:val="clear" w:color="auto" w:fill="CFCECE" w:themeFill="background2" w:themeFillShade="E5"/>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b w:val="0"/>
                <w:bCs w:val="0"/>
                <w:i w:val="0"/>
                <w:color w:val="auto"/>
                <w:kern w:val="0"/>
                <w:sz w:val="28"/>
                <w:szCs w:val="28"/>
                <w:u w:val="none"/>
                <w:shd w:val="clear" w:color="auto" w:fill="auto"/>
                <w:lang w:val="en-US" w:eastAsia="zh-CN" w:bidi="ar"/>
              </w:rPr>
            </w:pPr>
            <w:r>
              <w:rPr>
                <w:rFonts w:hint="eastAsia" w:ascii="Times New Roman" w:hAnsi="Times New Roman" w:eastAsia="黑体" w:cs="黑体"/>
                <w:b w:val="0"/>
                <w:bCs w:val="0"/>
                <w:i w:val="0"/>
                <w:color w:val="auto"/>
                <w:kern w:val="0"/>
                <w:sz w:val="28"/>
                <w:szCs w:val="28"/>
                <w:u w:val="none"/>
                <w:shd w:val="clear" w:color="auto" w:fill="auto"/>
                <w:lang w:val="en-US" w:eastAsia="zh-CN" w:bidi="ar"/>
              </w:rPr>
              <w:t>管理效率</w:t>
            </w:r>
          </w:p>
        </w:tc>
        <w:tc>
          <w:tcPr>
            <w:tcW w:w="2131" w:type="dxa"/>
            <w:shd w:val="clear" w:color="auto" w:fill="CFCECE" w:themeFill="background2" w:themeFillShade="E5"/>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b w:val="0"/>
                <w:bCs w:val="0"/>
                <w:i w:val="0"/>
                <w:color w:val="auto"/>
                <w:kern w:val="0"/>
                <w:sz w:val="28"/>
                <w:szCs w:val="28"/>
                <w:u w:val="none"/>
                <w:shd w:val="clear" w:color="auto" w:fill="auto"/>
                <w:lang w:val="en-US" w:eastAsia="zh-CN" w:bidi="ar"/>
              </w:rPr>
            </w:pPr>
            <w:r>
              <w:rPr>
                <w:rFonts w:hint="eastAsia" w:ascii="Times New Roman" w:hAnsi="Times New Roman" w:eastAsia="黑体" w:cs="黑体"/>
                <w:b w:val="0"/>
                <w:bCs w:val="0"/>
                <w:i w:val="0"/>
                <w:color w:val="auto"/>
                <w:kern w:val="0"/>
                <w:sz w:val="28"/>
                <w:szCs w:val="28"/>
                <w:u w:val="none"/>
                <w:shd w:val="clear" w:color="auto" w:fill="auto"/>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指标分值</w:t>
            </w:r>
          </w:p>
        </w:tc>
        <w:tc>
          <w:tcPr>
            <w:tcW w:w="2130" w:type="dxa"/>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50</w:t>
            </w:r>
          </w:p>
        </w:tc>
        <w:tc>
          <w:tcPr>
            <w:tcW w:w="2131" w:type="dxa"/>
          </w:tcPr>
          <w:p>
            <w:pPr>
              <w:keepNext w:val="0"/>
              <w:keepLines w:val="0"/>
              <w:widowControl/>
              <w:suppressLineNumbers w:val="0"/>
              <w:spacing w:beforeLines="0" w:afterLines="0" w:line="380" w:lineRule="exact"/>
              <w:jc w:val="center"/>
              <w:textAlignment w:val="center"/>
              <w:rPr>
                <w:rFonts w:hint="default"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50</w:t>
            </w:r>
          </w:p>
        </w:tc>
        <w:tc>
          <w:tcPr>
            <w:tcW w:w="2131" w:type="dxa"/>
          </w:tcPr>
          <w:p>
            <w:pPr>
              <w:keepNext w:val="0"/>
              <w:keepLines w:val="0"/>
              <w:widowControl/>
              <w:suppressLineNumbers w:val="0"/>
              <w:spacing w:beforeLines="0" w:afterLines="0" w:line="380" w:lineRule="exact"/>
              <w:jc w:val="center"/>
              <w:textAlignment w:val="center"/>
              <w:rPr>
                <w:rFonts w:hint="default"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自评得分</w:t>
            </w:r>
          </w:p>
        </w:tc>
        <w:tc>
          <w:tcPr>
            <w:tcW w:w="2130" w:type="dxa"/>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47.87</w:t>
            </w:r>
          </w:p>
        </w:tc>
        <w:tc>
          <w:tcPr>
            <w:tcW w:w="2131" w:type="dxa"/>
          </w:tcPr>
          <w:p>
            <w:pPr>
              <w:keepNext w:val="0"/>
              <w:keepLines w:val="0"/>
              <w:widowControl/>
              <w:suppressLineNumbers w:val="0"/>
              <w:spacing w:beforeLines="0" w:afterLines="0" w:line="380" w:lineRule="exact"/>
              <w:jc w:val="center"/>
              <w:textAlignment w:val="center"/>
              <w:rPr>
                <w:rFonts w:hint="default"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47.30</w:t>
            </w:r>
          </w:p>
        </w:tc>
        <w:tc>
          <w:tcPr>
            <w:tcW w:w="2131" w:type="dxa"/>
          </w:tcPr>
          <w:p>
            <w:pPr>
              <w:keepNext w:val="0"/>
              <w:keepLines w:val="0"/>
              <w:widowControl/>
              <w:suppressLineNumbers w:val="0"/>
              <w:spacing w:beforeLines="0" w:afterLines="0" w:line="380" w:lineRule="exact"/>
              <w:jc w:val="center"/>
              <w:textAlignment w:val="center"/>
              <w:rPr>
                <w:rFonts w:hint="default"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95.17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得分率</w:t>
            </w:r>
          </w:p>
        </w:tc>
        <w:tc>
          <w:tcPr>
            <w:tcW w:w="2130" w:type="dxa"/>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95.74%</w:t>
            </w:r>
          </w:p>
        </w:tc>
        <w:tc>
          <w:tcPr>
            <w:tcW w:w="2131" w:type="dxa"/>
          </w:tcPr>
          <w:p>
            <w:pPr>
              <w:keepNext w:val="0"/>
              <w:keepLines w:val="0"/>
              <w:widowControl/>
              <w:suppressLineNumbers w:val="0"/>
              <w:spacing w:beforeLines="0" w:afterLines="0" w:line="380" w:lineRule="exact"/>
              <w:jc w:val="center"/>
              <w:textAlignment w:val="center"/>
              <w:rPr>
                <w:rFonts w:hint="default"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94.60%</w:t>
            </w:r>
          </w:p>
        </w:tc>
        <w:tc>
          <w:tcPr>
            <w:tcW w:w="2131" w:type="dxa"/>
          </w:tcPr>
          <w:p>
            <w:pPr>
              <w:keepNext w:val="0"/>
              <w:keepLines w:val="0"/>
              <w:widowControl/>
              <w:suppressLineNumbers w:val="0"/>
              <w:spacing w:beforeLines="0" w:afterLines="0" w:line="380" w:lineRule="exact"/>
              <w:jc w:val="center"/>
              <w:textAlignment w:val="center"/>
              <w:rPr>
                <w:rFonts w:hint="default" w:ascii="Times New Roman" w:hAnsi="Times New Roman" w:eastAsia="仿宋_GB2312" w:cs="仿宋_GB2312"/>
                <w:i w:val="0"/>
                <w:color w:val="auto"/>
                <w:kern w:val="0"/>
                <w:sz w:val="28"/>
                <w:szCs w:val="28"/>
                <w:u w:val="none"/>
                <w:shd w:val="clear" w:color="auto" w:fill="auto"/>
                <w:lang w:val="en-US" w:eastAsia="zh-CN" w:bidi="ar"/>
              </w:rPr>
            </w:pPr>
            <w:r>
              <w:rPr>
                <w:rFonts w:hint="eastAsia" w:ascii="Times New Roman" w:hAnsi="Times New Roman" w:eastAsia="仿宋_GB2312" w:cs="仿宋_GB2312"/>
                <w:i w:val="0"/>
                <w:color w:val="auto"/>
                <w:kern w:val="0"/>
                <w:sz w:val="28"/>
                <w:szCs w:val="28"/>
                <w:u w:val="none"/>
                <w:shd w:val="clear" w:color="auto" w:fill="auto"/>
                <w:lang w:val="en-US" w:eastAsia="zh-CN" w:bidi="ar"/>
              </w:rPr>
              <w:t>95.17%</w:t>
            </w:r>
          </w:p>
        </w:tc>
      </w:tr>
    </w:tbl>
    <w:p>
      <w:pPr>
        <w:adjustRightInd w:val="0"/>
        <w:snapToGrid w:val="0"/>
        <w:spacing w:beforeLines="0" w:afterLines="0" w:line="580" w:lineRule="exact"/>
        <w:ind w:firstLine="643" w:firstLineChars="200"/>
        <w:contextualSpacing/>
        <w:jc w:val="center"/>
        <w:rPr>
          <w:rFonts w:hint="eastAsia" w:ascii="Times New Roman" w:hAnsi="Times New Roman" w:eastAsia="仿宋_GB2312" w:cs="仿宋_GB2312"/>
          <w:b/>
          <w:bCs/>
          <w:color w:val="000000"/>
          <w:sz w:val="32"/>
          <w:szCs w:val="32"/>
          <w:lang w:val="en-US" w:eastAsia="zh-CN"/>
        </w:rPr>
      </w:pPr>
      <w:r>
        <w:rPr>
          <w:rFonts w:hint="eastAsia" w:ascii="Times New Roman" w:hAnsi="Times New Roman" w:eastAsia="仿宋_GB2312" w:cs="仿宋_GB2312"/>
          <w:b/>
          <w:bCs/>
          <w:color w:val="000000"/>
          <w:sz w:val="32"/>
          <w:szCs w:val="32"/>
          <w:lang w:val="en-US" w:eastAsia="zh-CN"/>
        </w:rPr>
        <w:t>表 2-2 部门整体支出二级指标总得分情况表</w:t>
      </w:r>
    </w:p>
    <w:tbl>
      <w:tblPr>
        <w:tblStyle w:val="8"/>
        <w:tblW w:w="8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36"/>
        <w:gridCol w:w="739"/>
        <w:gridCol w:w="817"/>
        <w:gridCol w:w="848"/>
        <w:gridCol w:w="1000"/>
        <w:gridCol w:w="936"/>
        <w:gridCol w:w="736"/>
        <w:gridCol w:w="936"/>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shd w:val="clear" w:color="auto" w:fill="CFCECE" w:themeFill="background2" w:themeFillShade="E5"/>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分值</w:t>
            </w:r>
          </w:p>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名称</w:t>
            </w:r>
          </w:p>
        </w:tc>
        <w:tc>
          <w:tcPr>
            <w:tcW w:w="936" w:type="dxa"/>
            <w:shd w:val="clear" w:color="auto" w:fill="CFCECE" w:themeFill="background2" w:themeFillShade="E5"/>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整体</w:t>
            </w:r>
          </w:p>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效能</w:t>
            </w:r>
          </w:p>
        </w:tc>
        <w:tc>
          <w:tcPr>
            <w:tcW w:w="739" w:type="dxa"/>
            <w:shd w:val="clear" w:color="auto" w:fill="CFCECE" w:themeFill="background2" w:themeFillShade="E5"/>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预算编制</w:t>
            </w:r>
          </w:p>
        </w:tc>
        <w:tc>
          <w:tcPr>
            <w:tcW w:w="817" w:type="dxa"/>
            <w:shd w:val="clear" w:color="auto" w:fill="CFCECE" w:themeFill="background2" w:themeFillShade="E5"/>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预算</w:t>
            </w:r>
          </w:p>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执行</w:t>
            </w:r>
          </w:p>
        </w:tc>
        <w:tc>
          <w:tcPr>
            <w:tcW w:w="848" w:type="dxa"/>
            <w:shd w:val="clear" w:color="auto" w:fill="CFCECE" w:themeFill="background2" w:themeFillShade="E5"/>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信息公开</w:t>
            </w:r>
          </w:p>
        </w:tc>
        <w:tc>
          <w:tcPr>
            <w:tcW w:w="1000" w:type="dxa"/>
            <w:shd w:val="clear" w:color="auto" w:fill="CFCECE" w:themeFill="background2" w:themeFillShade="E5"/>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绩效</w:t>
            </w:r>
          </w:p>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管理</w:t>
            </w:r>
          </w:p>
        </w:tc>
        <w:tc>
          <w:tcPr>
            <w:tcW w:w="936" w:type="dxa"/>
            <w:shd w:val="clear" w:color="auto" w:fill="CFCECE" w:themeFill="background2" w:themeFillShade="E5"/>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采购</w:t>
            </w:r>
          </w:p>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管理</w:t>
            </w:r>
          </w:p>
        </w:tc>
        <w:tc>
          <w:tcPr>
            <w:tcW w:w="736" w:type="dxa"/>
            <w:shd w:val="clear" w:color="auto" w:fill="CFCECE" w:themeFill="background2" w:themeFillShade="E5"/>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资产管理</w:t>
            </w:r>
          </w:p>
        </w:tc>
        <w:tc>
          <w:tcPr>
            <w:tcW w:w="936" w:type="dxa"/>
            <w:shd w:val="clear" w:color="auto" w:fill="CFCECE" w:themeFill="background2" w:themeFillShade="E5"/>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运行</w:t>
            </w:r>
          </w:p>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成本</w:t>
            </w:r>
          </w:p>
        </w:tc>
        <w:tc>
          <w:tcPr>
            <w:tcW w:w="936" w:type="dxa"/>
            <w:shd w:val="clear" w:color="auto" w:fill="CFCECE" w:themeFill="background2" w:themeFillShade="E5"/>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黑体" w:cs="黑体"/>
                <w:i w:val="0"/>
                <w:color w:val="auto"/>
                <w:kern w:val="0"/>
                <w:sz w:val="24"/>
                <w:szCs w:val="24"/>
                <w:u w:val="none"/>
                <w:shd w:val="clear" w:color="auto" w:fill="auto"/>
                <w:lang w:val="en-US" w:eastAsia="zh-CN" w:bidi="ar"/>
              </w:rPr>
            </w:pPr>
            <w:r>
              <w:rPr>
                <w:rFonts w:hint="eastAsia" w:ascii="Times New Roman" w:hAnsi="Times New Roman" w:eastAsia="黑体" w:cs="黑体"/>
                <w:i w:val="0"/>
                <w:color w:val="auto"/>
                <w:kern w:val="0"/>
                <w:sz w:val="24"/>
                <w:szCs w:val="24"/>
                <w:u w:val="none"/>
                <w:shd w:val="clear" w:color="auto" w:fill="auto"/>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top"/>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指标</w:t>
            </w:r>
          </w:p>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分值</w:t>
            </w:r>
          </w:p>
        </w:tc>
        <w:tc>
          <w:tcPr>
            <w:tcW w:w="936"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50</w:t>
            </w:r>
          </w:p>
        </w:tc>
        <w:tc>
          <w:tcPr>
            <w:tcW w:w="739"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2</w:t>
            </w:r>
          </w:p>
        </w:tc>
        <w:tc>
          <w:tcPr>
            <w:tcW w:w="817"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7</w:t>
            </w:r>
          </w:p>
        </w:tc>
        <w:tc>
          <w:tcPr>
            <w:tcW w:w="848"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3</w:t>
            </w:r>
          </w:p>
        </w:tc>
        <w:tc>
          <w:tcPr>
            <w:tcW w:w="1000"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15</w:t>
            </w:r>
          </w:p>
        </w:tc>
        <w:tc>
          <w:tcPr>
            <w:tcW w:w="936"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10</w:t>
            </w:r>
          </w:p>
        </w:tc>
        <w:tc>
          <w:tcPr>
            <w:tcW w:w="736"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10</w:t>
            </w:r>
          </w:p>
        </w:tc>
        <w:tc>
          <w:tcPr>
            <w:tcW w:w="936"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3</w:t>
            </w:r>
          </w:p>
        </w:tc>
        <w:tc>
          <w:tcPr>
            <w:tcW w:w="936"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top"/>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自评</w:t>
            </w:r>
          </w:p>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得分</w:t>
            </w:r>
          </w:p>
        </w:tc>
        <w:tc>
          <w:tcPr>
            <w:tcW w:w="936"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47.87</w:t>
            </w:r>
          </w:p>
        </w:tc>
        <w:tc>
          <w:tcPr>
            <w:tcW w:w="739"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2</w:t>
            </w:r>
          </w:p>
        </w:tc>
        <w:tc>
          <w:tcPr>
            <w:tcW w:w="817"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7</w:t>
            </w:r>
          </w:p>
        </w:tc>
        <w:tc>
          <w:tcPr>
            <w:tcW w:w="848"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3</w:t>
            </w:r>
          </w:p>
        </w:tc>
        <w:tc>
          <w:tcPr>
            <w:tcW w:w="1000"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14.5</w:t>
            </w:r>
          </w:p>
        </w:tc>
        <w:tc>
          <w:tcPr>
            <w:tcW w:w="936"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8.5</w:t>
            </w:r>
          </w:p>
        </w:tc>
        <w:tc>
          <w:tcPr>
            <w:tcW w:w="736"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10</w:t>
            </w:r>
          </w:p>
        </w:tc>
        <w:tc>
          <w:tcPr>
            <w:tcW w:w="936" w:type="dxa"/>
            <w:vAlign w:val="center"/>
          </w:tcPr>
          <w:p>
            <w:pPr>
              <w:keepNext w:val="0"/>
              <w:keepLines w:val="0"/>
              <w:widowControl/>
              <w:suppressLineNumbers w:val="0"/>
              <w:spacing w:beforeLines="0" w:afterLines="0" w:line="380" w:lineRule="exact"/>
              <w:jc w:val="center"/>
              <w:textAlignment w:val="center"/>
              <w:rPr>
                <w:rFonts w:hint="default"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2.3</w:t>
            </w:r>
          </w:p>
        </w:tc>
        <w:tc>
          <w:tcPr>
            <w:tcW w:w="936"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95.17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3" w:type="dxa"/>
            <w:vAlign w:val="top"/>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得分率</w:t>
            </w:r>
          </w:p>
        </w:tc>
        <w:tc>
          <w:tcPr>
            <w:tcW w:w="936"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95.74%</w:t>
            </w:r>
          </w:p>
        </w:tc>
        <w:tc>
          <w:tcPr>
            <w:tcW w:w="739"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100%</w:t>
            </w:r>
          </w:p>
        </w:tc>
        <w:tc>
          <w:tcPr>
            <w:tcW w:w="817"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100%</w:t>
            </w:r>
          </w:p>
        </w:tc>
        <w:tc>
          <w:tcPr>
            <w:tcW w:w="848"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100%</w:t>
            </w:r>
          </w:p>
        </w:tc>
        <w:tc>
          <w:tcPr>
            <w:tcW w:w="1000"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96.67%</w:t>
            </w:r>
          </w:p>
        </w:tc>
        <w:tc>
          <w:tcPr>
            <w:tcW w:w="936"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85.00%</w:t>
            </w:r>
          </w:p>
        </w:tc>
        <w:tc>
          <w:tcPr>
            <w:tcW w:w="736"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100%</w:t>
            </w:r>
          </w:p>
        </w:tc>
        <w:tc>
          <w:tcPr>
            <w:tcW w:w="936" w:type="dxa"/>
            <w:vAlign w:val="center"/>
          </w:tcPr>
          <w:p>
            <w:pPr>
              <w:keepNext w:val="0"/>
              <w:keepLines w:val="0"/>
              <w:widowControl/>
              <w:suppressLineNumbers w:val="0"/>
              <w:spacing w:beforeLines="0" w:afterLines="0" w:line="380" w:lineRule="exact"/>
              <w:jc w:val="center"/>
              <w:textAlignment w:val="center"/>
              <w:rPr>
                <w:rFonts w:hint="default"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76.67%</w:t>
            </w:r>
          </w:p>
        </w:tc>
        <w:tc>
          <w:tcPr>
            <w:tcW w:w="936" w:type="dxa"/>
            <w:vAlign w:val="center"/>
          </w:tcPr>
          <w:p>
            <w:pPr>
              <w:keepNext w:val="0"/>
              <w:keepLines w:val="0"/>
              <w:widowControl/>
              <w:suppressLineNumbers w:val="0"/>
              <w:spacing w:beforeLines="0" w:afterLines="0" w:line="380" w:lineRule="exact"/>
              <w:jc w:val="center"/>
              <w:textAlignment w:val="center"/>
              <w:rPr>
                <w:rFonts w:hint="eastAsia" w:ascii="Times New Roman" w:hAnsi="Times New Roman" w:eastAsia="仿宋_GB2312" w:cs="仿宋_GB2312"/>
                <w:i w:val="0"/>
                <w:color w:val="auto"/>
                <w:kern w:val="0"/>
                <w:sz w:val="24"/>
                <w:szCs w:val="24"/>
                <w:u w:val="none"/>
                <w:shd w:val="clear" w:color="auto" w:fill="auto"/>
                <w:lang w:val="en-US" w:eastAsia="zh-CN" w:bidi="ar"/>
              </w:rPr>
            </w:pPr>
            <w:r>
              <w:rPr>
                <w:rFonts w:hint="eastAsia" w:ascii="Times New Roman" w:hAnsi="Times New Roman" w:eastAsia="仿宋_GB2312" w:cs="仿宋_GB2312"/>
                <w:i w:val="0"/>
                <w:color w:val="auto"/>
                <w:kern w:val="0"/>
                <w:sz w:val="24"/>
                <w:szCs w:val="24"/>
                <w:u w:val="none"/>
                <w:shd w:val="clear" w:color="auto" w:fill="auto"/>
                <w:lang w:val="en-US" w:eastAsia="zh-CN" w:bidi="ar"/>
              </w:rPr>
              <w:t>95.17%</w:t>
            </w:r>
          </w:p>
        </w:tc>
      </w:tr>
    </w:tbl>
    <w:p>
      <w:pPr>
        <w:snapToGrid w:val="0"/>
        <w:spacing w:beforeLines="0" w:afterLines="0" w:line="360" w:lineRule="auto"/>
        <w:ind w:firstLine="482" w:firstLineChars="200"/>
        <w:outlineLvl w:val="9"/>
        <w:rPr>
          <w:rFonts w:hint="eastAsia" w:ascii="Times New Roman" w:hAnsi="Times New Roman" w:eastAsia="仿宋_GB2312" w:cs="仿宋_GB2312"/>
          <w:b/>
          <w:bCs/>
          <w:sz w:val="24"/>
          <w:szCs w:val="24"/>
        </w:rPr>
      </w:pPr>
      <w:bookmarkStart w:id="28" w:name="_Toc6055"/>
    </w:p>
    <w:p>
      <w:pPr>
        <w:keepNext w:val="0"/>
        <w:keepLines w:val="0"/>
        <w:pageBreakBefore w:val="0"/>
        <w:kinsoku/>
        <w:wordWrap/>
        <w:overflowPunct/>
        <w:topLinePunct w:val="0"/>
        <w:autoSpaceDE/>
        <w:autoSpaceDN/>
        <w:bidi w:val="0"/>
        <w:snapToGrid w:val="0"/>
        <w:spacing w:line="560" w:lineRule="exact"/>
        <w:ind w:firstLine="643" w:firstLineChars="200"/>
        <w:textAlignment w:val="auto"/>
        <w:outlineLvl w:val="1"/>
        <w:rPr>
          <w:rFonts w:hint="eastAsia" w:ascii="Times New Roman" w:hAnsi="Times New Roman" w:eastAsia="CESI楷体-GB2312" w:cs="CESI楷体-GB2312"/>
          <w:b w:val="0"/>
          <w:bCs w:val="0"/>
          <w:sz w:val="32"/>
          <w:szCs w:val="32"/>
          <w:lang w:eastAsia="zh-CN"/>
        </w:rPr>
      </w:pPr>
      <w:bookmarkStart w:id="29" w:name="_Toc8101"/>
      <w:r>
        <w:rPr>
          <w:rFonts w:hint="eastAsia" w:ascii="Times New Roman" w:hAnsi="Times New Roman" w:eastAsia="CESI楷体-GB2312" w:cs="CESI楷体-GB2312"/>
          <w:b/>
          <w:bCs/>
          <w:sz w:val="32"/>
          <w:szCs w:val="32"/>
        </w:rPr>
        <w:t>（二）</w:t>
      </w:r>
      <w:r>
        <w:rPr>
          <w:rFonts w:hint="eastAsia" w:ascii="Times New Roman" w:hAnsi="Times New Roman" w:eastAsia="CESI楷体-GB2312" w:cs="CESI楷体-GB2312"/>
          <w:b/>
          <w:bCs/>
          <w:sz w:val="32"/>
          <w:szCs w:val="32"/>
          <w:lang w:val="en-US" w:eastAsia="zh-CN"/>
        </w:rPr>
        <w:t>履职效能</w:t>
      </w:r>
      <w:r>
        <w:rPr>
          <w:rFonts w:hint="eastAsia" w:ascii="Times New Roman" w:hAnsi="Times New Roman" w:eastAsia="CESI楷体-GB2312" w:cs="CESI楷体-GB2312"/>
          <w:b/>
          <w:bCs/>
          <w:sz w:val="32"/>
          <w:szCs w:val="32"/>
          <w:lang w:eastAsia="zh-CN"/>
        </w:rPr>
        <w:t>分析</w:t>
      </w:r>
      <w:bookmarkEnd w:id="28"/>
      <w:bookmarkEnd w:id="29"/>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根据《部门整体支出绩效自评指标评分表（无专项资金）》，部门整体</w:t>
      </w:r>
      <w:r>
        <w:rPr>
          <w:rFonts w:hint="eastAsia" w:ascii="Times New Roman" w:hAnsi="Times New Roman" w:eastAsia="仿宋_GB2312" w:cs="仿宋_GB2312"/>
          <w:kern w:val="2"/>
          <w:sz w:val="32"/>
          <w:szCs w:val="32"/>
          <w:highlight w:val="none"/>
          <w:lang w:val="en-US" w:eastAsia="zh-CN" w:bidi="ar-SA"/>
        </w:rPr>
        <w:t>支出一级指标“履职效能”（总分50分，权重50%）由1个二级指标“整体效能”和3个三级指标组成</w:t>
      </w:r>
      <w:r>
        <w:rPr>
          <w:rFonts w:hint="eastAsia" w:ascii="Times New Roman" w:hAnsi="Times New Roman" w:eastAsia="仿宋_GB2312" w:cs="仿宋_GB2312"/>
          <w:kern w:val="2"/>
          <w:sz w:val="32"/>
          <w:szCs w:val="32"/>
          <w:lang w:val="en-US" w:eastAsia="zh-CN" w:bidi="ar-SA"/>
        </w:rPr>
        <w:t>。我总队在履职效能方面</w:t>
      </w:r>
      <w:r>
        <w:rPr>
          <w:rFonts w:hint="eastAsia" w:ascii="Times New Roman" w:hAnsi="Times New Roman" w:eastAsia="仿宋_GB2312" w:cs="仿宋_GB2312"/>
          <w:kern w:val="2"/>
          <w:sz w:val="32"/>
          <w:szCs w:val="32"/>
          <w:highlight w:val="none"/>
          <w:lang w:val="en-US" w:eastAsia="zh-CN" w:bidi="ar-SA"/>
        </w:rPr>
        <w:t>自评得分47.87分，得分率95.74%。</w:t>
      </w:r>
      <w:r>
        <w:rPr>
          <w:rFonts w:hint="eastAsia" w:ascii="Times New Roman" w:hAnsi="Times New Roman" w:eastAsia="仿宋_GB2312" w:cs="仿宋_GB2312"/>
          <w:kern w:val="2"/>
          <w:sz w:val="32"/>
          <w:szCs w:val="32"/>
          <w:lang w:val="en-US" w:eastAsia="zh-CN" w:bidi="ar-SA"/>
        </w:rPr>
        <w:t>具体指标分析如下：</w:t>
      </w:r>
    </w:p>
    <w:p>
      <w:pPr>
        <w:pStyle w:val="2"/>
        <w:keepNext w:val="0"/>
        <w:keepLines w:val="0"/>
        <w:pageBreakBefore w:val="0"/>
        <w:numPr>
          <w:ilvl w:val="0"/>
          <w:numId w:val="9"/>
        </w:numPr>
        <w:kinsoku/>
        <w:wordWrap/>
        <w:overflowPunct/>
        <w:topLinePunct w:val="0"/>
        <w:autoSpaceDE/>
        <w:autoSpaceDN/>
        <w:bidi w:val="0"/>
        <w:spacing w:line="560"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部门整体绩效目标产出指标完成情况。该指标反映年度预算编报时确定的部门整体预算绩效目标中产出指标完成情况，分值20分，共设“数量指标”、“质量指标”、“时效指标”、“成本指标”4个二级产出指标，每项指标分值为5分。</w:t>
      </w:r>
      <w:r>
        <w:rPr>
          <w:rFonts w:hint="eastAsia" w:ascii="Times New Roman" w:hAnsi="Times New Roman" w:eastAsia="仿宋_GB2312" w:cs="仿宋_GB2312"/>
          <w:kern w:val="2"/>
          <w:sz w:val="32"/>
          <w:szCs w:val="32"/>
          <w:highlight w:val="none"/>
          <w:lang w:val="en-US" w:eastAsia="zh-CN" w:bidi="ar-SA"/>
        </w:rPr>
        <w:t>自评得分20分，得分率100%</w:t>
      </w:r>
      <w:r>
        <w:rPr>
          <w:rFonts w:hint="eastAsia" w:ascii="Times New Roman" w:hAnsi="Times New Roman" w:eastAsia="仿宋_GB2312" w:cs="仿宋_GB2312"/>
          <w:kern w:val="2"/>
          <w:sz w:val="32"/>
          <w:szCs w:val="32"/>
          <w:lang w:val="en-US" w:eastAsia="zh-CN" w:bidi="ar-SA"/>
        </w:rPr>
        <w:t>。</w:t>
      </w:r>
    </w:p>
    <w:p>
      <w:pPr>
        <w:pStyle w:val="2"/>
        <w:keepNext w:val="0"/>
        <w:keepLines w:val="0"/>
        <w:pageBreakBefore w:val="0"/>
        <w:numPr>
          <w:ilvl w:val="0"/>
          <w:numId w:val="10"/>
        </w:numPr>
        <w:kinsoku/>
        <w:wordWrap/>
        <w:overflowPunct/>
        <w:topLinePunct w:val="0"/>
        <w:autoSpaceDE/>
        <w:autoSpaceDN/>
        <w:bidi w:val="0"/>
        <w:spacing w:line="560" w:lineRule="exact"/>
        <w:textAlignment w:val="auto"/>
        <w:outlineLvl w:val="2"/>
        <w:rPr>
          <w:rFonts w:hint="eastAsia" w:ascii="Times New Roman" w:hAnsi="Times New Roman" w:eastAsia="仿宋_GB2312" w:cs="仿宋_GB2312"/>
          <w:kern w:val="2"/>
          <w:sz w:val="32"/>
          <w:szCs w:val="32"/>
          <w:highlight w:val="yellow"/>
          <w:lang w:val="en-US" w:eastAsia="zh-CN" w:bidi="ar-SA"/>
        </w:rPr>
      </w:pPr>
      <w:bookmarkStart w:id="30" w:name="_Toc26573"/>
      <w:bookmarkStart w:id="31" w:name="_Toc4054"/>
      <w:r>
        <w:rPr>
          <w:rFonts w:hint="eastAsia" w:ascii="Times New Roman" w:hAnsi="Times New Roman" w:eastAsia="仿宋_GB2312" w:cs="仿宋_GB2312"/>
          <w:kern w:val="2"/>
          <w:sz w:val="32"/>
          <w:szCs w:val="32"/>
          <w:lang w:val="en-US" w:eastAsia="zh-CN" w:bidi="ar-SA"/>
        </w:rPr>
        <w:t>数量指标</w:t>
      </w:r>
      <w:bookmarkEnd w:id="30"/>
      <w:bookmarkEnd w:id="31"/>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数量指标包括“开展联合执法次数（次）”、“联合执法行动区域性覆盖率（%）”、“出动执法船次（艘）”、“检查各类渔船数（艘）”等4个三级指标，满分5分。自评得分5分，得分率100%。</w:t>
      </w:r>
    </w:p>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一是</w:t>
      </w:r>
      <w:r>
        <w:rPr>
          <w:rFonts w:hint="eastAsia" w:ascii="Times New Roman" w:hAnsi="Times New Roman" w:eastAsia="仿宋_GB2312" w:cs="仿宋_GB2312"/>
          <w:sz w:val="32"/>
          <w:szCs w:val="32"/>
          <w:highlight w:val="none"/>
          <w:lang w:val="en-US" w:eastAsia="zh-CN"/>
        </w:rPr>
        <w:t>开展4次联合执法行动。</w:t>
      </w:r>
      <w:r>
        <w:rPr>
          <w:rFonts w:hint="eastAsia" w:ascii="Times New Roman" w:hAnsi="Times New Roman" w:eastAsia="仿宋_GB2312" w:cs="仿宋_GB2312"/>
          <w:sz w:val="32"/>
          <w:szCs w:val="32"/>
          <w:lang w:val="en-US" w:eastAsia="zh-CN"/>
        </w:rPr>
        <w:t>2022年我总队联合</w:t>
      </w:r>
      <w:r>
        <w:rPr>
          <w:rFonts w:hint="eastAsia" w:ascii="Times New Roman" w:hAnsi="Times New Roman" w:eastAsia="仿宋_GB2312" w:cs="仿宋_GB2312"/>
          <w:b w:val="0"/>
          <w:bCs w:val="0"/>
          <w:sz w:val="32"/>
          <w:szCs w:val="32"/>
          <w:lang w:val="en-US" w:eastAsia="zh-CN"/>
        </w:rPr>
        <w:t>省生态环境厅、广东海警局、广东海事局等部门开展了2022年广东省近海岸海域污染防治行动，以及“碧海2022”海洋生态环境保护和自然资源开发利用专项执法行动、“亮剑2022”海洋伏季休渔专项执法行动、“严执法、护平安、迎盛会”海洋综合执法专项行动等海洋执法工作</w:t>
      </w:r>
      <w:r>
        <w:rPr>
          <w:rFonts w:hint="eastAsia" w:ascii="Times New Roman" w:hAnsi="Times New Roman" w:eastAsia="仿宋_GB2312" w:cs="仿宋_GB2312"/>
          <w:sz w:val="32"/>
          <w:szCs w:val="32"/>
          <w:highlight w:val="none"/>
          <w:lang w:val="en-US" w:eastAsia="zh-CN"/>
        </w:rPr>
        <w:t>，达到绩效指标目标值，</w:t>
      </w:r>
      <w:r>
        <w:rPr>
          <w:rFonts w:hint="eastAsia" w:ascii="Times New Roman" w:hAnsi="Times New Roman" w:eastAsia="仿宋_GB2312" w:cs="仿宋_GB2312"/>
          <w:kern w:val="2"/>
          <w:sz w:val="32"/>
          <w:szCs w:val="32"/>
          <w:highlight w:val="none"/>
          <w:lang w:val="en-US" w:eastAsia="zh-CN" w:bidi="ar-SA"/>
        </w:rPr>
        <w:t>本项指标自评得分为满分</w:t>
      </w:r>
      <w:r>
        <w:rPr>
          <w:rFonts w:hint="eastAsia" w:ascii="Times New Roman" w:hAnsi="Times New Roman" w:eastAsia="仿宋_GB2312" w:cs="仿宋_GB2312"/>
          <w:sz w:val="32"/>
          <w:szCs w:val="32"/>
          <w:highlight w:val="none"/>
          <w:lang w:val="en-US" w:eastAsia="zh-CN"/>
        </w:rPr>
        <w:t>。</w:t>
      </w:r>
    </w:p>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二是圆满完成各项联合执法行动。2022年我总队严厉打击非法采砂、非法倾废、破坏自然保护地、污染海洋环境、非法用海用岛、破坏海底电缆管道等重点违法行为，有力维护了海洋开发利用正常秩序，保护了海洋生态环境；严管渔港渔场主战场，查获多起涉渔违法案件及跨界涉嫌违规渔船，有力保护了海洋渔业生态资源，联合执法行动区域性覆盖率达100%，达到绩效指标目标值，</w:t>
      </w:r>
      <w:r>
        <w:rPr>
          <w:rFonts w:hint="eastAsia" w:ascii="Times New Roman" w:hAnsi="Times New Roman" w:eastAsia="仿宋_GB2312" w:cs="仿宋_GB2312"/>
          <w:kern w:val="2"/>
          <w:sz w:val="32"/>
          <w:szCs w:val="32"/>
          <w:highlight w:val="none"/>
          <w:lang w:val="en-US" w:eastAsia="zh-CN" w:bidi="ar-SA"/>
        </w:rPr>
        <w:t>本项指标自评得分为满分</w:t>
      </w:r>
      <w:r>
        <w:rPr>
          <w:rFonts w:hint="eastAsia" w:ascii="Times New Roman" w:hAnsi="Times New Roman" w:eastAsia="仿宋_GB2312" w:cs="仿宋_GB2312"/>
          <w:sz w:val="32"/>
          <w:szCs w:val="32"/>
          <w:highlight w:val="none"/>
          <w:lang w:val="en-US" w:eastAsia="zh-CN"/>
        </w:rPr>
        <w:t>。</w:t>
      </w:r>
    </w:p>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三是</w:t>
      </w:r>
      <w:r>
        <w:rPr>
          <w:rFonts w:hint="eastAsia" w:ascii="Times New Roman" w:hAnsi="Times New Roman" w:eastAsia="仿宋_GB2312" w:cs="仿宋_GB2312"/>
          <w:b w:val="0"/>
          <w:bCs w:val="0"/>
          <w:sz w:val="32"/>
          <w:szCs w:val="32"/>
          <w:lang w:val="en-US" w:eastAsia="zh-CN"/>
        </w:rPr>
        <w:t>依法履行职责，全年我总队共出动执法船次805艘，有力保障海洋强省建设，执法成效稳居全国首位，</w:t>
      </w:r>
      <w:r>
        <w:rPr>
          <w:rFonts w:hint="eastAsia" w:ascii="Times New Roman" w:hAnsi="Times New Roman" w:eastAsia="仿宋_GB2312" w:cs="仿宋_GB2312"/>
          <w:sz w:val="32"/>
          <w:szCs w:val="32"/>
          <w:highlight w:val="none"/>
          <w:lang w:val="en-US" w:eastAsia="zh-CN"/>
        </w:rPr>
        <w:t>达到绩效指标目标值，</w:t>
      </w:r>
      <w:r>
        <w:rPr>
          <w:rFonts w:hint="eastAsia" w:ascii="Times New Roman" w:hAnsi="Times New Roman" w:eastAsia="仿宋_GB2312" w:cs="仿宋_GB2312"/>
          <w:kern w:val="2"/>
          <w:sz w:val="32"/>
          <w:szCs w:val="32"/>
          <w:highlight w:val="none"/>
          <w:lang w:val="en-US" w:eastAsia="zh-CN" w:bidi="ar-SA"/>
        </w:rPr>
        <w:t>本项指标自评得分为满分</w:t>
      </w:r>
      <w:r>
        <w:rPr>
          <w:rFonts w:hint="eastAsia" w:ascii="Times New Roman" w:hAnsi="Times New Roman" w:eastAsia="仿宋_GB2312" w:cs="仿宋_GB2312"/>
          <w:sz w:val="32"/>
          <w:szCs w:val="32"/>
          <w:highlight w:val="none"/>
          <w:lang w:val="en-US" w:eastAsia="zh-CN"/>
        </w:rPr>
        <w:t>。</w:t>
      </w:r>
    </w:p>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四是严格排查渔船风险隐患，组织开展渔船安全专项检查，省海洋综合执法总队直属一支队、二支队、三支队检查各类渔船4035艘，省级财政资金支持江门、茂名、惠州地方支队完成检查各类渔船2336艘，使用省级财政资金全年完成检查各类渔船6371艘，达到绩效指标目标值，及时消除重大安全风险，保障渔船作业安全，</w:t>
      </w:r>
      <w:r>
        <w:rPr>
          <w:rFonts w:hint="eastAsia" w:ascii="Times New Roman" w:hAnsi="Times New Roman" w:eastAsia="仿宋_GB2312" w:cs="仿宋_GB2312"/>
          <w:kern w:val="2"/>
          <w:sz w:val="32"/>
          <w:szCs w:val="32"/>
          <w:highlight w:val="none"/>
          <w:lang w:val="en-US" w:eastAsia="zh-CN" w:bidi="ar-SA"/>
        </w:rPr>
        <w:t>本项指标自评得分为满分</w:t>
      </w:r>
      <w:r>
        <w:rPr>
          <w:rFonts w:hint="eastAsia" w:ascii="Times New Roman" w:hAnsi="Times New Roman" w:eastAsia="仿宋_GB2312" w:cs="仿宋_GB2312"/>
          <w:sz w:val="32"/>
          <w:szCs w:val="32"/>
          <w:highlight w:val="none"/>
          <w:lang w:val="en-US" w:eastAsia="zh-CN"/>
        </w:rPr>
        <w:t>。</w:t>
      </w:r>
    </w:p>
    <w:p>
      <w:pPr>
        <w:pStyle w:val="2"/>
        <w:keepNext w:val="0"/>
        <w:keepLines w:val="0"/>
        <w:pageBreakBefore w:val="0"/>
        <w:numPr>
          <w:ilvl w:val="0"/>
          <w:numId w:val="10"/>
        </w:numPr>
        <w:kinsoku/>
        <w:wordWrap/>
        <w:overflowPunct/>
        <w:topLinePunct w:val="0"/>
        <w:autoSpaceDE/>
        <w:autoSpaceDN/>
        <w:bidi w:val="0"/>
        <w:spacing w:line="560" w:lineRule="exact"/>
        <w:textAlignment w:val="auto"/>
        <w:outlineLvl w:val="2"/>
        <w:rPr>
          <w:rFonts w:hint="eastAsia" w:ascii="Times New Roman" w:hAnsi="Times New Roman" w:eastAsia="仿宋_GB2312" w:cs="仿宋_GB2312"/>
          <w:kern w:val="2"/>
          <w:sz w:val="32"/>
          <w:szCs w:val="32"/>
          <w:highlight w:val="none"/>
          <w:lang w:val="en-US" w:eastAsia="zh-CN" w:bidi="ar-SA"/>
        </w:rPr>
      </w:pPr>
      <w:bookmarkStart w:id="32" w:name="_Toc24883"/>
      <w:bookmarkStart w:id="33" w:name="_Toc12800"/>
      <w:r>
        <w:rPr>
          <w:rFonts w:hint="eastAsia" w:ascii="Times New Roman" w:hAnsi="Times New Roman" w:eastAsia="仿宋_GB2312" w:cs="仿宋_GB2312"/>
          <w:kern w:val="2"/>
          <w:sz w:val="32"/>
          <w:szCs w:val="32"/>
          <w:highlight w:val="none"/>
          <w:lang w:val="en-US" w:eastAsia="zh-CN" w:bidi="ar-SA"/>
        </w:rPr>
        <w:t>质量指标</w:t>
      </w:r>
      <w:bookmarkEnd w:id="32"/>
      <w:bookmarkEnd w:id="33"/>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质量指标为“行政案件复议诉讼结果撤销数”，满分5分。自评得分5分，得分率100%。</w:t>
      </w:r>
    </w:p>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2022年度我总队行政处罚总数为216宗，行政复议决定撤销、变更或者确认违法0宗，行政执法专业、高效、精准，有力维护我总队海洋综合执法公信力，达到绩效指标目标值，</w:t>
      </w:r>
      <w:r>
        <w:rPr>
          <w:rFonts w:hint="eastAsia" w:ascii="Times New Roman" w:hAnsi="Times New Roman" w:eastAsia="仿宋_GB2312" w:cs="仿宋_GB2312"/>
          <w:kern w:val="2"/>
          <w:sz w:val="32"/>
          <w:szCs w:val="32"/>
          <w:highlight w:val="none"/>
          <w:lang w:val="en-US" w:eastAsia="zh-CN" w:bidi="ar-SA"/>
        </w:rPr>
        <w:t>本项指标自评得分为满分</w:t>
      </w:r>
      <w:r>
        <w:rPr>
          <w:rFonts w:hint="eastAsia" w:ascii="Times New Roman" w:hAnsi="Times New Roman" w:eastAsia="仿宋_GB2312" w:cs="仿宋_GB2312"/>
          <w:sz w:val="32"/>
          <w:szCs w:val="32"/>
          <w:highlight w:val="none"/>
          <w:lang w:val="en-US" w:eastAsia="zh-CN"/>
        </w:rPr>
        <w:t>。</w:t>
      </w:r>
    </w:p>
    <w:p>
      <w:pPr>
        <w:pStyle w:val="2"/>
        <w:keepNext w:val="0"/>
        <w:keepLines w:val="0"/>
        <w:pageBreakBefore w:val="0"/>
        <w:numPr>
          <w:ilvl w:val="0"/>
          <w:numId w:val="10"/>
        </w:numPr>
        <w:kinsoku/>
        <w:wordWrap/>
        <w:overflowPunct/>
        <w:topLinePunct w:val="0"/>
        <w:autoSpaceDE/>
        <w:autoSpaceDN/>
        <w:bidi w:val="0"/>
        <w:spacing w:line="560" w:lineRule="exact"/>
        <w:textAlignment w:val="auto"/>
        <w:outlineLvl w:val="2"/>
        <w:rPr>
          <w:rFonts w:hint="eastAsia" w:ascii="Times New Roman" w:hAnsi="Times New Roman" w:eastAsia="仿宋_GB2312" w:cs="仿宋_GB2312"/>
          <w:kern w:val="2"/>
          <w:sz w:val="32"/>
          <w:szCs w:val="32"/>
          <w:highlight w:val="none"/>
          <w:lang w:val="en-US" w:eastAsia="zh-CN" w:bidi="ar-SA"/>
        </w:rPr>
      </w:pPr>
      <w:bookmarkStart w:id="34" w:name="_Toc6996"/>
      <w:bookmarkStart w:id="35" w:name="_Toc4426"/>
      <w:r>
        <w:rPr>
          <w:rFonts w:hint="eastAsia" w:ascii="Times New Roman" w:hAnsi="Times New Roman" w:eastAsia="仿宋_GB2312" w:cs="仿宋_GB2312"/>
          <w:kern w:val="2"/>
          <w:sz w:val="32"/>
          <w:szCs w:val="32"/>
          <w:highlight w:val="none"/>
          <w:lang w:val="en-US" w:eastAsia="zh-CN" w:bidi="ar-SA"/>
        </w:rPr>
        <w:t>时效指标</w:t>
      </w:r>
      <w:bookmarkEnd w:id="34"/>
      <w:bookmarkEnd w:id="35"/>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时效指标为“年度执法计划完成率”，满分5分。自评得分5分，得分率100%。</w:t>
      </w:r>
    </w:p>
    <w:p>
      <w:pPr>
        <w:pStyle w:val="2"/>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sz w:val="32"/>
          <w:szCs w:val="32"/>
          <w:highlight w:val="none"/>
          <w:lang w:val="en-US" w:eastAsia="zh-CN"/>
        </w:rPr>
        <w:t>我总队2022年认真抓好“安全、维权、执法”三大主业，全面推进海洋综合执法工作，</w:t>
      </w:r>
      <w:r>
        <w:rPr>
          <w:rFonts w:hint="eastAsia" w:ascii="Times New Roman" w:hAnsi="Times New Roman" w:eastAsia="仿宋_GB2312" w:cs="仿宋_GB2312"/>
          <w:sz w:val="32"/>
          <w:szCs w:val="32"/>
          <w:highlight w:val="none"/>
        </w:rPr>
        <w:t>全力保安全、护海疆、强执法、促改革，</w:t>
      </w:r>
      <w:r>
        <w:rPr>
          <w:rFonts w:hint="eastAsia" w:ascii="Times New Roman" w:hAnsi="Times New Roman" w:eastAsia="仿宋_GB2312" w:cs="仿宋_GB2312"/>
          <w:sz w:val="32"/>
          <w:szCs w:val="32"/>
          <w:highlight w:val="none"/>
          <w:lang w:val="en-US" w:eastAsia="zh-CN"/>
        </w:rPr>
        <w:t>高效高质完成了各项年度工作任务，</w:t>
      </w:r>
      <w:r>
        <w:rPr>
          <w:rFonts w:hint="eastAsia" w:ascii="Times New Roman" w:hAnsi="Times New Roman" w:eastAsia="仿宋_GB2312" w:cs="仿宋_GB2312"/>
          <w:kern w:val="2"/>
          <w:sz w:val="32"/>
          <w:szCs w:val="32"/>
          <w:highlight w:val="none"/>
          <w:lang w:val="en-US" w:eastAsia="zh-CN" w:bidi="ar-SA"/>
        </w:rPr>
        <w:t>无拖延或滞后情况，年度执法计划完成率达100%，</w:t>
      </w:r>
      <w:r>
        <w:rPr>
          <w:rFonts w:hint="eastAsia" w:ascii="Times New Roman" w:hAnsi="Times New Roman" w:eastAsia="仿宋_GB2312" w:cs="仿宋_GB2312"/>
          <w:sz w:val="32"/>
          <w:szCs w:val="32"/>
          <w:highlight w:val="none"/>
        </w:rPr>
        <w:t>有效维护</w:t>
      </w:r>
      <w:r>
        <w:rPr>
          <w:rFonts w:hint="eastAsia" w:ascii="Times New Roman" w:hAnsi="Times New Roman" w:eastAsia="仿宋_GB2312" w:cs="仿宋_GB2312"/>
          <w:sz w:val="32"/>
          <w:szCs w:val="32"/>
          <w:highlight w:val="none"/>
          <w:lang w:val="en-US" w:eastAsia="zh-CN"/>
        </w:rPr>
        <w:t>了</w:t>
      </w:r>
      <w:r>
        <w:rPr>
          <w:rFonts w:hint="eastAsia" w:ascii="Times New Roman" w:hAnsi="Times New Roman" w:eastAsia="仿宋_GB2312" w:cs="仿宋_GB2312"/>
          <w:sz w:val="32"/>
          <w:szCs w:val="32"/>
          <w:highlight w:val="none"/>
        </w:rPr>
        <w:t>国家海洋权益</w:t>
      </w:r>
      <w:r>
        <w:rPr>
          <w:rFonts w:hint="eastAsia" w:ascii="Times New Roman" w:hAnsi="Times New Roman" w:eastAsia="仿宋_GB2312" w:cs="仿宋_GB2312"/>
          <w:sz w:val="32"/>
          <w:szCs w:val="32"/>
          <w:highlight w:val="none"/>
          <w:lang w:eastAsia="zh-CN"/>
        </w:rPr>
        <w:t>，</w:t>
      </w:r>
      <w:r>
        <w:rPr>
          <w:rFonts w:hint="eastAsia" w:ascii="Times New Roman" w:hAnsi="Times New Roman" w:eastAsia="仿宋_GB2312" w:cs="仿宋_GB2312"/>
          <w:sz w:val="32"/>
          <w:szCs w:val="32"/>
          <w:highlight w:val="none"/>
          <w:lang w:val="en-US" w:eastAsia="zh-CN"/>
        </w:rPr>
        <w:t>保障海洋强省建设，达到绩效指标目标值，</w:t>
      </w:r>
      <w:r>
        <w:rPr>
          <w:rFonts w:hint="eastAsia" w:ascii="Times New Roman" w:hAnsi="Times New Roman" w:eastAsia="仿宋_GB2312" w:cs="仿宋_GB2312"/>
          <w:kern w:val="2"/>
          <w:sz w:val="32"/>
          <w:szCs w:val="32"/>
          <w:highlight w:val="none"/>
          <w:lang w:val="en-US" w:eastAsia="zh-CN" w:bidi="ar-SA"/>
        </w:rPr>
        <w:t>本项指标自评得分为满分。</w:t>
      </w:r>
    </w:p>
    <w:p>
      <w:pPr>
        <w:pStyle w:val="2"/>
        <w:keepNext w:val="0"/>
        <w:keepLines w:val="0"/>
        <w:pageBreakBefore w:val="0"/>
        <w:numPr>
          <w:ilvl w:val="0"/>
          <w:numId w:val="10"/>
        </w:numPr>
        <w:kinsoku/>
        <w:wordWrap/>
        <w:overflowPunct/>
        <w:topLinePunct w:val="0"/>
        <w:autoSpaceDE/>
        <w:autoSpaceDN/>
        <w:bidi w:val="0"/>
        <w:spacing w:line="560" w:lineRule="exact"/>
        <w:textAlignment w:val="auto"/>
        <w:outlineLvl w:val="2"/>
        <w:rPr>
          <w:rFonts w:hint="eastAsia" w:ascii="Times New Roman" w:hAnsi="Times New Roman" w:eastAsia="仿宋_GB2312" w:cs="仿宋_GB2312"/>
          <w:kern w:val="2"/>
          <w:sz w:val="32"/>
          <w:szCs w:val="32"/>
          <w:highlight w:val="none"/>
          <w:lang w:val="en-US" w:eastAsia="zh-CN" w:bidi="ar-SA"/>
        </w:rPr>
      </w:pPr>
      <w:bookmarkStart w:id="36" w:name="_Toc14271"/>
      <w:bookmarkStart w:id="37" w:name="_Toc24239"/>
      <w:r>
        <w:rPr>
          <w:rFonts w:hint="eastAsia" w:ascii="Times New Roman" w:hAnsi="Times New Roman" w:eastAsia="仿宋_GB2312" w:cs="仿宋_GB2312"/>
          <w:kern w:val="2"/>
          <w:sz w:val="32"/>
          <w:szCs w:val="32"/>
          <w:highlight w:val="none"/>
          <w:lang w:val="en-US" w:eastAsia="zh-CN" w:bidi="ar-SA"/>
        </w:rPr>
        <w:t>成本指标</w:t>
      </w:r>
      <w:bookmarkEnd w:id="36"/>
      <w:bookmarkEnd w:id="37"/>
    </w:p>
    <w:p>
      <w:pPr>
        <w:pStyle w:val="2"/>
        <w:keepNext w:val="0"/>
        <w:keepLines w:val="0"/>
        <w:pageBreakBefore w:val="0"/>
        <w:numPr>
          <w:ilvl w:val="-1"/>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成本指标包括为“工程类项目设计变更造价控制率”，满分5分。自评得分5分，得分率100%。</w:t>
      </w:r>
    </w:p>
    <w:p>
      <w:pPr>
        <w:pStyle w:val="2"/>
        <w:keepNext w:val="0"/>
        <w:keepLines w:val="0"/>
        <w:pageBreakBefore w:val="0"/>
        <w:kinsoku/>
        <w:wordWrap/>
        <w:overflowPunct/>
        <w:topLinePunct w:val="0"/>
        <w:autoSpaceDE/>
        <w:autoSpaceDN/>
        <w:bidi w:val="0"/>
        <w:spacing w:line="560" w:lineRule="exact"/>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sz w:val="32"/>
          <w:szCs w:val="32"/>
          <w:highlight w:val="none"/>
          <w:lang w:val="en-US" w:eastAsia="zh-CN"/>
        </w:rPr>
        <w:t>我总队贯彻落实省委省政府、财政部门降本增效，提高应对财政收支紧平衡形势主动性的要求，2022年度工程类项目未发生设计造价变更，有效控制工程项目支出成本，达到绩效指标目标值，</w:t>
      </w:r>
      <w:r>
        <w:rPr>
          <w:rFonts w:hint="eastAsia" w:ascii="Times New Roman" w:hAnsi="Times New Roman" w:eastAsia="仿宋_GB2312" w:cs="仿宋_GB2312"/>
          <w:kern w:val="2"/>
          <w:sz w:val="32"/>
          <w:szCs w:val="32"/>
          <w:highlight w:val="none"/>
          <w:lang w:val="en-US" w:eastAsia="zh-CN" w:bidi="ar-SA"/>
        </w:rPr>
        <w:t>本项指标自评得分为满分。</w:t>
      </w:r>
    </w:p>
    <w:p>
      <w:pPr>
        <w:pStyle w:val="2"/>
        <w:keepNext w:val="0"/>
        <w:keepLines w:val="0"/>
        <w:pageBreakBefore w:val="0"/>
        <w:numPr>
          <w:ilvl w:val="0"/>
          <w:numId w:val="9"/>
        </w:numPr>
        <w:kinsoku/>
        <w:wordWrap/>
        <w:overflowPunct/>
        <w:topLinePunct w:val="0"/>
        <w:autoSpaceDE/>
        <w:autoSpaceDN/>
        <w:bidi w:val="0"/>
        <w:spacing w:line="560"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部门整体绩效目标效益指标完成情况。该指标反映年度预算编报时确定的部门预算整体绩效目标中效益指标完成情况，分值20分。我总队共设置“社会效益”、“生态效益”、“可持续效益”、“服务对象满意度”4个二级指标，每个分值5分。自评得分18.08分，得分率90.40%。</w:t>
      </w:r>
    </w:p>
    <w:p>
      <w:pPr>
        <w:pStyle w:val="2"/>
        <w:keepNext w:val="0"/>
        <w:keepLines w:val="0"/>
        <w:pageBreakBefore w:val="0"/>
        <w:numPr>
          <w:ilvl w:val="0"/>
          <w:numId w:val="11"/>
        </w:numPr>
        <w:kinsoku/>
        <w:wordWrap/>
        <w:overflowPunct/>
        <w:topLinePunct w:val="0"/>
        <w:autoSpaceDE/>
        <w:autoSpaceDN/>
        <w:bidi w:val="0"/>
        <w:spacing w:line="560" w:lineRule="exact"/>
        <w:textAlignment w:val="auto"/>
        <w:outlineLvl w:val="2"/>
        <w:rPr>
          <w:rFonts w:hint="eastAsia" w:ascii="Times New Roman" w:hAnsi="Times New Roman" w:eastAsia="仿宋_GB2312" w:cs="仿宋_GB2312"/>
          <w:kern w:val="2"/>
          <w:sz w:val="32"/>
          <w:szCs w:val="32"/>
          <w:lang w:val="en-US" w:eastAsia="zh-CN" w:bidi="ar-SA"/>
        </w:rPr>
      </w:pPr>
      <w:bookmarkStart w:id="38" w:name="_Toc2237"/>
      <w:r>
        <w:rPr>
          <w:rFonts w:hint="eastAsia" w:ascii="Times New Roman" w:hAnsi="Times New Roman" w:eastAsia="仿宋_GB2312" w:cs="仿宋_GB2312"/>
          <w:kern w:val="2"/>
          <w:sz w:val="32"/>
          <w:szCs w:val="32"/>
          <w:lang w:val="en-US" w:eastAsia="zh-CN" w:bidi="ar-SA"/>
        </w:rPr>
        <w:t>社会效益指标</w:t>
      </w:r>
      <w:bookmarkEnd w:id="38"/>
    </w:p>
    <w:p>
      <w:pPr>
        <w:pStyle w:val="2"/>
        <w:keepNext w:val="0"/>
        <w:keepLines w:val="0"/>
        <w:pageBreakBefore w:val="0"/>
        <w:numPr>
          <w:ilvl w:val="-1"/>
          <w:numId w:val="0"/>
        </w:numPr>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sz w:val="32"/>
          <w:szCs w:val="32"/>
          <w:lang w:val="en-US" w:eastAsia="zh-CN"/>
        </w:rPr>
        <w:t>社会</w:t>
      </w:r>
      <w:r>
        <w:rPr>
          <w:rFonts w:hint="eastAsia" w:ascii="Times New Roman" w:hAnsi="Times New Roman" w:eastAsia="仿宋_GB2312" w:cs="仿宋_GB2312"/>
          <w:kern w:val="2"/>
          <w:sz w:val="32"/>
          <w:szCs w:val="32"/>
          <w:lang w:val="en-US" w:eastAsia="zh-CN" w:bidi="ar-SA"/>
        </w:rPr>
        <w:t>效益指标设置了“提高震慑力”、“重大海洋或渔业安全事故发生次数”2个指标，分值5分。此项自评得分5分，得分率100%。</w:t>
      </w:r>
    </w:p>
    <w:p>
      <w:pPr>
        <w:pStyle w:val="2"/>
        <w:keepNext w:val="0"/>
        <w:keepLines w:val="0"/>
        <w:pageBreakBefore w:val="0"/>
        <w:numPr>
          <w:ilvl w:val="-1"/>
          <w:numId w:val="0"/>
        </w:numPr>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一是我总队严厉打击各项涉渔、用海违法行为，</w:t>
      </w:r>
      <w:r>
        <w:rPr>
          <w:rFonts w:hint="eastAsia" w:ascii="Times New Roman" w:hAnsi="Times New Roman" w:eastAsia="仿宋_GB2312" w:cs="仿宋_GB2312"/>
          <w:b w:val="0"/>
          <w:bCs w:val="0"/>
          <w:sz w:val="32"/>
          <w:szCs w:val="32"/>
          <w:lang w:eastAsia="zh-CN"/>
        </w:rPr>
        <w:t>紧盯非法改装渔船、</w:t>
      </w:r>
      <w:r>
        <w:rPr>
          <w:rFonts w:hint="eastAsia" w:ascii="Times New Roman" w:hAnsi="Times New Roman" w:eastAsia="仿宋_GB2312" w:cs="仿宋_GB2312"/>
          <w:b w:val="0"/>
          <w:bCs w:val="0"/>
          <w:sz w:val="32"/>
          <w:szCs w:val="32"/>
          <w:lang w:val="en-US" w:eastAsia="zh-CN"/>
        </w:rPr>
        <w:t>清理</w:t>
      </w:r>
      <w:r>
        <w:rPr>
          <w:rFonts w:hint="eastAsia" w:ascii="Times New Roman" w:hAnsi="Times New Roman" w:eastAsia="仿宋_GB2312" w:cs="仿宋_GB2312"/>
          <w:b w:val="0"/>
          <w:bCs/>
          <w:color w:val="auto"/>
          <w:sz w:val="32"/>
          <w:szCs w:val="32"/>
          <w:highlight w:val="none"/>
          <w:shd w:val="clear" w:color="auto" w:fill="auto"/>
        </w:rPr>
        <w:t>涉渔“三无”</w:t>
      </w:r>
      <w:r>
        <w:rPr>
          <w:rFonts w:hint="eastAsia" w:ascii="Times New Roman" w:hAnsi="Times New Roman" w:eastAsia="仿宋_GB2312" w:cs="仿宋_GB2312"/>
          <w:b w:val="0"/>
          <w:bCs/>
          <w:color w:val="auto"/>
          <w:sz w:val="32"/>
          <w:szCs w:val="32"/>
          <w:highlight w:val="none"/>
          <w:shd w:val="clear" w:color="auto" w:fill="auto"/>
          <w:lang w:val="en-US" w:eastAsia="zh-CN"/>
        </w:rPr>
        <w:t>船舶</w:t>
      </w:r>
      <w:r>
        <w:rPr>
          <w:rFonts w:hint="eastAsia" w:ascii="Times New Roman" w:hAnsi="Times New Roman" w:eastAsia="仿宋_GB2312" w:cs="仿宋_GB2312"/>
          <w:b w:val="0"/>
          <w:bCs/>
          <w:color w:val="auto"/>
          <w:sz w:val="32"/>
          <w:szCs w:val="32"/>
          <w:highlight w:val="none"/>
          <w:u w:val="none"/>
          <w:shd w:val="clear" w:color="auto" w:fill="auto"/>
          <w:lang w:val="en-US" w:eastAsia="zh-CN"/>
        </w:rPr>
        <w:t>、整治跨海区生产渔船；</w:t>
      </w:r>
      <w:r>
        <w:rPr>
          <w:rFonts w:hint="eastAsia" w:ascii="Times New Roman" w:hAnsi="Times New Roman" w:eastAsia="仿宋_GB2312" w:cs="仿宋_GB2312"/>
          <w:kern w:val="2"/>
          <w:sz w:val="32"/>
          <w:szCs w:val="32"/>
          <w:highlight w:val="none"/>
          <w:lang w:val="en-US" w:eastAsia="zh-CN" w:bidi="ar-SA"/>
        </w:rPr>
        <w:t>核查用海疑点疑区、海洋工程，加强海域巡查，</w:t>
      </w:r>
      <w:r>
        <w:rPr>
          <w:rFonts w:hint="eastAsia" w:ascii="Times New Roman" w:hAnsi="Times New Roman" w:eastAsia="仿宋_GB2312" w:cs="仿宋_GB2312"/>
          <w:sz w:val="32"/>
          <w:szCs w:val="32"/>
          <w:lang w:val="en-US" w:eastAsia="zh-CN"/>
        </w:rPr>
        <w:t>全年查获多项涉渔违法案件</w:t>
      </w:r>
      <w:r>
        <w:rPr>
          <w:rFonts w:hint="eastAsia" w:ascii="Times New Roman" w:hAnsi="Times New Roman" w:eastAsia="仿宋_GB2312" w:cs="仿宋_GB2312"/>
          <w:b w:val="0"/>
          <w:bCs w:val="0"/>
          <w:sz w:val="32"/>
          <w:szCs w:val="32"/>
          <w:lang w:val="en-US" w:eastAsia="zh-CN"/>
        </w:rPr>
        <w:t>、</w:t>
      </w:r>
      <w:r>
        <w:rPr>
          <w:rFonts w:hint="eastAsia" w:ascii="Times New Roman" w:hAnsi="Times New Roman" w:eastAsia="仿宋_GB2312" w:cs="仿宋_GB2312"/>
          <w:b w:val="0"/>
          <w:bCs w:val="0"/>
          <w:sz w:val="32"/>
          <w:szCs w:val="32"/>
        </w:rPr>
        <w:t>用海违法案件</w:t>
      </w:r>
      <w:r>
        <w:rPr>
          <w:rFonts w:hint="eastAsia" w:ascii="Times New Roman" w:hAnsi="Times New Roman" w:eastAsia="仿宋_GB2312" w:cs="仿宋_GB2312"/>
          <w:b w:val="0"/>
          <w:bCs w:val="0"/>
          <w:sz w:val="32"/>
          <w:szCs w:val="32"/>
          <w:lang w:eastAsia="zh-CN"/>
        </w:rPr>
        <w:t>；</w:t>
      </w:r>
      <w:r>
        <w:rPr>
          <w:rFonts w:hint="eastAsia" w:ascii="Times New Roman" w:hAnsi="Times New Roman" w:eastAsia="仿宋_GB2312" w:cs="仿宋_GB2312"/>
          <w:b w:val="0"/>
          <w:bCs/>
          <w:color w:val="auto"/>
          <w:sz w:val="32"/>
          <w:szCs w:val="32"/>
          <w:highlight w:val="none"/>
          <w:u w:val="none"/>
          <w:shd w:val="clear" w:color="auto" w:fill="auto"/>
          <w:lang w:val="en-US" w:eastAsia="zh-CN"/>
        </w:rPr>
        <w:t>海洋综合执法成效显著，有力震慑不法分子，为维护海洋开发利用正常秩序提供坚实保障，</w:t>
      </w:r>
      <w:r>
        <w:rPr>
          <w:rFonts w:hint="eastAsia" w:ascii="Times New Roman" w:hAnsi="Times New Roman" w:eastAsia="仿宋_GB2312" w:cs="仿宋_GB2312"/>
          <w:sz w:val="32"/>
          <w:szCs w:val="32"/>
          <w:highlight w:val="none"/>
          <w:lang w:val="en-US" w:eastAsia="zh-CN"/>
        </w:rPr>
        <w:t>达到绩效指标目标值，</w:t>
      </w:r>
      <w:r>
        <w:rPr>
          <w:rFonts w:hint="eastAsia" w:ascii="Times New Roman" w:hAnsi="Times New Roman" w:eastAsia="仿宋_GB2312" w:cs="仿宋_GB2312"/>
          <w:kern w:val="2"/>
          <w:sz w:val="32"/>
          <w:szCs w:val="32"/>
          <w:highlight w:val="none"/>
          <w:lang w:val="en-US" w:eastAsia="zh-CN" w:bidi="ar-SA"/>
        </w:rPr>
        <w:t>本项指标自评得分为满分</w:t>
      </w:r>
      <w:r>
        <w:rPr>
          <w:rFonts w:hint="eastAsia" w:ascii="Times New Roman" w:hAnsi="Times New Roman" w:eastAsia="仿宋_GB2312" w:cs="仿宋_GB2312"/>
          <w:b w:val="0"/>
          <w:bCs/>
          <w:color w:val="auto"/>
          <w:sz w:val="32"/>
          <w:szCs w:val="32"/>
          <w:highlight w:val="none"/>
          <w:u w:val="none"/>
          <w:shd w:val="clear" w:color="auto" w:fill="auto"/>
          <w:lang w:val="en-US" w:eastAsia="zh-CN"/>
        </w:rPr>
        <w:t>。</w:t>
      </w:r>
    </w:p>
    <w:p>
      <w:pPr>
        <w:pStyle w:val="2"/>
        <w:keepNext w:val="0"/>
        <w:keepLines w:val="0"/>
        <w:pageBreakBefore w:val="0"/>
        <w:numPr>
          <w:ilvl w:val="-1"/>
          <w:numId w:val="0"/>
        </w:numPr>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sz w:val="32"/>
          <w:szCs w:val="32"/>
          <w:lang w:val="en-US" w:eastAsia="zh-CN"/>
        </w:rPr>
        <w:t>二是我总队坚持“人民至上、生命至上”的原则，开展渔船安全监管“百日攻坚”、渔船渔港安全大检查和商渔共治专项行动，防范渔船不适航、船员不适任、渔港不适泊等问题；严格落实渔业防台“3个100%”要求，组织防御台风，组织救助遇险船舶及人员，连续6年实现渔业防台“零死亡”。2022年全年渔船水上生产安全事故同比减少22%，死亡失踪人数同比减少11%，实现“双下降”，未发生重大海洋或渔业安全事故发生，有力</w:t>
      </w:r>
      <w:r>
        <w:rPr>
          <w:rFonts w:hint="eastAsia" w:ascii="Times New Roman" w:hAnsi="Times New Roman" w:eastAsia="仿宋_GB2312" w:cs="仿宋_GB2312"/>
          <w:kern w:val="2"/>
          <w:sz w:val="32"/>
          <w:szCs w:val="32"/>
          <w:lang w:val="en-US" w:eastAsia="zh-CN" w:bidi="ar-SA"/>
        </w:rPr>
        <w:t>保障了渔民的生命财产安全，</w:t>
      </w:r>
      <w:r>
        <w:rPr>
          <w:rFonts w:hint="eastAsia" w:ascii="Times New Roman" w:hAnsi="Times New Roman" w:eastAsia="仿宋_GB2312" w:cs="仿宋_GB2312"/>
          <w:sz w:val="32"/>
          <w:szCs w:val="32"/>
          <w:highlight w:val="none"/>
          <w:lang w:val="en-US" w:eastAsia="zh-CN"/>
        </w:rPr>
        <w:t>达到绩效指标目标值，</w:t>
      </w:r>
      <w:r>
        <w:rPr>
          <w:rFonts w:hint="eastAsia" w:ascii="Times New Roman" w:hAnsi="Times New Roman" w:eastAsia="仿宋_GB2312" w:cs="仿宋_GB2312"/>
          <w:kern w:val="2"/>
          <w:sz w:val="32"/>
          <w:szCs w:val="32"/>
          <w:highlight w:val="none"/>
          <w:lang w:val="en-US" w:eastAsia="zh-CN" w:bidi="ar-SA"/>
        </w:rPr>
        <w:t>本项指标自评得分为满分</w:t>
      </w:r>
      <w:r>
        <w:rPr>
          <w:rFonts w:hint="eastAsia" w:ascii="Times New Roman" w:hAnsi="Times New Roman" w:eastAsia="仿宋_GB2312" w:cs="仿宋_GB2312"/>
          <w:b w:val="0"/>
          <w:bCs/>
          <w:color w:val="auto"/>
          <w:sz w:val="32"/>
          <w:szCs w:val="32"/>
          <w:highlight w:val="none"/>
          <w:u w:val="none"/>
          <w:shd w:val="clear" w:color="auto" w:fill="auto"/>
          <w:lang w:val="en-US" w:eastAsia="zh-CN"/>
        </w:rPr>
        <w:t>。</w:t>
      </w:r>
    </w:p>
    <w:p>
      <w:pPr>
        <w:pStyle w:val="2"/>
        <w:keepNext w:val="0"/>
        <w:keepLines w:val="0"/>
        <w:pageBreakBefore w:val="0"/>
        <w:numPr>
          <w:ilvl w:val="0"/>
          <w:numId w:val="11"/>
        </w:numPr>
        <w:kinsoku/>
        <w:wordWrap/>
        <w:overflowPunct/>
        <w:topLinePunct w:val="0"/>
        <w:autoSpaceDE/>
        <w:autoSpaceDN/>
        <w:bidi w:val="0"/>
        <w:spacing w:line="560" w:lineRule="exact"/>
        <w:textAlignment w:val="auto"/>
        <w:outlineLvl w:val="2"/>
        <w:rPr>
          <w:rFonts w:hint="eastAsia" w:ascii="Times New Roman" w:hAnsi="Times New Roman" w:eastAsia="仿宋_GB2312" w:cs="仿宋_GB2312"/>
          <w:kern w:val="2"/>
          <w:sz w:val="32"/>
          <w:szCs w:val="32"/>
          <w:lang w:val="en-US" w:eastAsia="zh-CN" w:bidi="ar-SA"/>
        </w:rPr>
      </w:pPr>
      <w:bookmarkStart w:id="39" w:name="_Toc21680"/>
      <w:r>
        <w:rPr>
          <w:rFonts w:hint="eastAsia" w:ascii="Times New Roman" w:hAnsi="Times New Roman" w:eastAsia="仿宋_GB2312" w:cs="仿宋_GB2312"/>
          <w:kern w:val="2"/>
          <w:sz w:val="32"/>
          <w:szCs w:val="32"/>
          <w:lang w:val="en-US" w:eastAsia="zh-CN" w:bidi="ar-SA"/>
        </w:rPr>
        <w:t>生态效益指标</w:t>
      </w:r>
      <w:bookmarkEnd w:id="39"/>
    </w:p>
    <w:p>
      <w:pPr>
        <w:pStyle w:val="2"/>
        <w:keepNext w:val="0"/>
        <w:keepLines w:val="0"/>
        <w:pageBreakBefore w:val="0"/>
        <w:numPr>
          <w:ilvl w:val="-1"/>
          <w:numId w:val="0"/>
        </w:numPr>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lang w:val="en-US" w:eastAsia="zh-CN" w:bidi="ar-SA"/>
        </w:rPr>
        <w:t>生态效益指标设置了“破坏海洋生态环境资源违法行为立案查处率”、“海洋渔业违法</w:t>
      </w:r>
      <w:r>
        <w:rPr>
          <w:rFonts w:hint="eastAsia" w:ascii="Times New Roman" w:hAnsi="Times New Roman" w:eastAsia="仿宋_GB2312" w:cs="仿宋_GB2312"/>
          <w:kern w:val="2"/>
          <w:sz w:val="32"/>
          <w:szCs w:val="32"/>
          <w:highlight w:val="none"/>
          <w:lang w:val="en-US" w:eastAsia="zh-CN" w:bidi="ar-SA"/>
        </w:rPr>
        <w:t>违规船次下降率”2个指标，分值5分。此项自评得分3.08分，得分率61.60%。</w:t>
      </w:r>
    </w:p>
    <w:p>
      <w:pPr>
        <w:pStyle w:val="2"/>
        <w:keepNext w:val="0"/>
        <w:keepLines w:val="0"/>
        <w:pageBreakBefore w:val="0"/>
        <w:numPr>
          <w:ilvl w:val="-1"/>
          <w:numId w:val="0"/>
        </w:numPr>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val="0"/>
          <w:bCs/>
          <w:color w:val="auto"/>
          <w:sz w:val="32"/>
          <w:szCs w:val="32"/>
          <w:highlight w:val="none"/>
          <w:u w:val="none"/>
          <w:shd w:val="clear" w:color="auto" w:fill="auto"/>
          <w:lang w:val="en-US" w:eastAsia="zh-CN"/>
        </w:rPr>
      </w:pPr>
      <w:r>
        <w:rPr>
          <w:rFonts w:hint="eastAsia" w:ascii="Times New Roman" w:hAnsi="Times New Roman" w:eastAsia="仿宋_GB2312" w:cs="仿宋_GB2312"/>
          <w:kern w:val="2"/>
          <w:sz w:val="32"/>
          <w:szCs w:val="32"/>
          <w:highlight w:val="none"/>
          <w:lang w:val="en-US" w:eastAsia="zh-CN" w:bidi="ar-SA"/>
        </w:rPr>
        <w:t>一是我总队2022年与省生态环境厅、广东海警局、广东海事局等部门联合开展近岸海域污染防治行动，严密部署各级海洋综合执法队伍重点围绕涉海工程、海砂开采、海洋倾废、入海排污口、海水养殖、船舶及其有关作业活动污染防治等强化监督检查，开展“靖海2022”“碧海2022”等海洋生态环境保护和自然资源开发利用专项执法行动，查处汕头至汕尾铁路项目涉海工程海洋环境评价未经批准擅自开工建设，破坏海洋生态环境资源违法行为立案查处率达100%，</w:t>
      </w:r>
      <w:r>
        <w:rPr>
          <w:rFonts w:hint="eastAsia" w:ascii="Times New Roman" w:hAnsi="Times New Roman" w:eastAsia="仿宋_GB2312" w:cs="仿宋_GB2312"/>
          <w:sz w:val="32"/>
          <w:szCs w:val="32"/>
          <w:highlight w:val="none"/>
          <w:lang w:val="en-US" w:eastAsia="zh-CN"/>
        </w:rPr>
        <w:t>达到绩效指标目标值，</w:t>
      </w:r>
      <w:r>
        <w:rPr>
          <w:rFonts w:hint="eastAsia" w:ascii="Times New Roman" w:hAnsi="Times New Roman" w:eastAsia="仿宋_GB2312" w:cs="仿宋_GB2312"/>
          <w:kern w:val="2"/>
          <w:sz w:val="32"/>
          <w:szCs w:val="32"/>
          <w:highlight w:val="none"/>
          <w:lang w:val="en-US" w:eastAsia="zh-CN" w:bidi="ar-SA"/>
        </w:rPr>
        <w:t>本项指标自评得分为满分</w:t>
      </w:r>
      <w:r>
        <w:rPr>
          <w:rFonts w:hint="eastAsia" w:ascii="Times New Roman" w:hAnsi="Times New Roman" w:eastAsia="仿宋_GB2312" w:cs="仿宋_GB2312"/>
          <w:b w:val="0"/>
          <w:bCs/>
          <w:color w:val="auto"/>
          <w:sz w:val="32"/>
          <w:szCs w:val="32"/>
          <w:highlight w:val="none"/>
          <w:u w:val="none"/>
          <w:shd w:val="clear" w:color="auto" w:fill="auto"/>
          <w:lang w:val="en-US" w:eastAsia="zh-CN"/>
        </w:rPr>
        <w:t>。</w:t>
      </w:r>
    </w:p>
    <w:p>
      <w:pPr>
        <w:pStyle w:val="2"/>
        <w:keepNext w:val="0"/>
        <w:keepLines w:val="0"/>
        <w:pageBreakBefore w:val="0"/>
        <w:numPr>
          <w:ilvl w:val="-1"/>
          <w:numId w:val="0"/>
        </w:numPr>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val="0"/>
          <w:bCs/>
          <w:color w:val="auto"/>
          <w:sz w:val="32"/>
          <w:szCs w:val="32"/>
          <w:highlight w:val="none"/>
          <w:u w:val="none"/>
          <w:shd w:val="clear" w:color="auto" w:fill="auto"/>
          <w:lang w:val="en-US" w:eastAsia="zh-CN"/>
        </w:rPr>
      </w:pPr>
      <w:r>
        <w:rPr>
          <w:rFonts w:hint="eastAsia" w:ascii="Times New Roman" w:hAnsi="Times New Roman" w:eastAsia="仿宋_GB2312" w:cs="仿宋_GB2312"/>
          <w:b w:val="0"/>
          <w:bCs/>
          <w:color w:val="auto"/>
          <w:sz w:val="32"/>
          <w:szCs w:val="32"/>
          <w:highlight w:val="none"/>
          <w:u w:val="none"/>
          <w:shd w:val="clear" w:color="auto" w:fill="auto"/>
          <w:lang w:val="en-US" w:eastAsia="zh-CN"/>
        </w:rPr>
        <w:t>二是我总队全力组织推进“中国渔政亮剑2022”系列专项执法行动，严厉打击涉渔领域违法违规行为，有效维护我省渔业生产秩序，保护渔业资源生态环境，推动我省海洋生态文明建设。2022年查处</w:t>
      </w:r>
      <w:r>
        <w:rPr>
          <w:rFonts w:hint="eastAsia" w:ascii="Times New Roman" w:hAnsi="Times New Roman" w:eastAsia="仿宋_GB2312" w:cs="仿宋_GB2312"/>
          <w:kern w:val="2"/>
          <w:sz w:val="32"/>
          <w:szCs w:val="32"/>
          <w:highlight w:val="none"/>
          <w:lang w:val="en-US" w:eastAsia="zh-CN" w:bidi="ar-SA"/>
        </w:rPr>
        <w:t>海洋渔业违法违规船次422艘，相比2021年查处违规船次424艘，海洋渔业违法违规船次下降率为0.47%，未</w:t>
      </w:r>
      <w:r>
        <w:rPr>
          <w:rFonts w:hint="eastAsia" w:ascii="Times New Roman" w:hAnsi="Times New Roman" w:eastAsia="仿宋_GB2312" w:cs="仿宋_GB2312"/>
          <w:sz w:val="32"/>
          <w:szCs w:val="32"/>
          <w:highlight w:val="none"/>
          <w:lang w:val="en-US" w:eastAsia="zh-CN"/>
        </w:rPr>
        <w:t>达到绩效指标目标值，</w:t>
      </w:r>
      <w:r>
        <w:rPr>
          <w:rFonts w:hint="eastAsia" w:ascii="Times New Roman" w:hAnsi="Times New Roman" w:eastAsia="仿宋_GB2312" w:cs="仿宋_GB2312"/>
          <w:kern w:val="2"/>
          <w:sz w:val="32"/>
          <w:szCs w:val="32"/>
          <w:highlight w:val="none"/>
          <w:lang w:val="en-US" w:eastAsia="zh-CN" w:bidi="ar-SA"/>
        </w:rPr>
        <w:t>本项指标自评得分0.58分</w:t>
      </w:r>
      <w:r>
        <w:rPr>
          <w:rFonts w:hint="eastAsia" w:ascii="Times New Roman" w:hAnsi="Times New Roman" w:eastAsia="仿宋_GB2312" w:cs="仿宋_GB2312"/>
          <w:b w:val="0"/>
          <w:bCs/>
          <w:color w:val="auto"/>
          <w:sz w:val="32"/>
          <w:szCs w:val="32"/>
          <w:highlight w:val="none"/>
          <w:u w:val="none"/>
          <w:shd w:val="clear" w:color="auto" w:fill="auto"/>
          <w:lang w:val="en-US" w:eastAsia="zh-CN"/>
        </w:rPr>
        <w:t>。</w:t>
      </w:r>
    </w:p>
    <w:p>
      <w:pPr>
        <w:pStyle w:val="2"/>
        <w:keepNext w:val="0"/>
        <w:keepLines w:val="0"/>
        <w:pageBreakBefore w:val="0"/>
        <w:numPr>
          <w:ilvl w:val="0"/>
          <w:numId w:val="11"/>
        </w:numPr>
        <w:kinsoku/>
        <w:wordWrap/>
        <w:overflowPunct/>
        <w:topLinePunct w:val="0"/>
        <w:autoSpaceDE/>
        <w:autoSpaceDN/>
        <w:bidi w:val="0"/>
        <w:spacing w:line="560" w:lineRule="exact"/>
        <w:ind w:left="0" w:leftChars="0" w:firstLine="640" w:firstLineChars="200"/>
        <w:textAlignment w:val="auto"/>
        <w:outlineLvl w:val="2"/>
        <w:rPr>
          <w:rFonts w:hint="eastAsia" w:ascii="Times New Roman" w:hAnsi="Times New Roman" w:eastAsia="仿宋_GB2312" w:cs="仿宋_GB2312"/>
          <w:kern w:val="2"/>
          <w:sz w:val="32"/>
          <w:szCs w:val="32"/>
          <w:lang w:val="en-US" w:eastAsia="zh-CN" w:bidi="ar-SA"/>
        </w:rPr>
      </w:pPr>
      <w:bookmarkStart w:id="40" w:name="_Toc24319"/>
      <w:r>
        <w:rPr>
          <w:rFonts w:hint="eastAsia" w:ascii="Times New Roman" w:hAnsi="Times New Roman" w:eastAsia="仿宋_GB2312" w:cs="仿宋_GB2312"/>
          <w:kern w:val="2"/>
          <w:sz w:val="32"/>
          <w:szCs w:val="32"/>
          <w:lang w:val="en-US" w:eastAsia="zh-CN" w:bidi="ar-SA"/>
        </w:rPr>
        <w:t>可持续性效益指标</w:t>
      </w:r>
      <w:bookmarkEnd w:id="40"/>
    </w:p>
    <w:p>
      <w:pPr>
        <w:pStyle w:val="2"/>
        <w:keepNext w:val="0"/>
        <w:keepLines w:val="0"/>
        <w:pageBreakBefore w:val="0"/>
        <w:numPr>
          <w:ilvl w:val="-1"/>
          <w:numId w:val="0"/>
        </w:numPr>
        <w:kinsoku/>
        <w:wordWrap/>
        <w:overflowPunct/>
        <w:topLinePunct w:val="0"/>
        <w:autoSpaceDE/>
        <w:autoSpaceDN/>
        <w:bidi w:val="0"/>
        <w:spacing w:line="560" w:lineRule="exact"/>
        <w:ind w:left="0" w:leftChars="0" w:firstLine="64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可持续性效益指标设置了“保护海洋环境和生态资源”1个指标，分值5分。此项自评得分5分，得分率100%。</w:t>
      </w:r>
    </w:p>
    <w:p>
      <w:pPr>
        <w:pStyle w:val="2"/>
        <w:keepNext w:val="0"/>
        <w:keepLines w:val="0"/>
        <w:pageBreakBefore w:val="0"/>
        <w:numPr>
          <w:ilvl w:val="-1"/>
          <w:numId w:val="0"/>
        </w:numPr>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b w:val="0"/>
          <w:bCs/>
          <w:color w:val="auto"/>
          <w:sz w:val="32"/>
          <w:szCs w:val="32"/>
          <w:highlight w:val="none"/>
          <w:u w:val="none"/>
          <w:shd w:val="clear" w:color="auto" w:fill="auto"/>
          <w:lang w:val="en-US" w:eastAsia="zh-CN"/>
        </w:rPr>
      </w:pPr>
      <w:r>
        <w:rPr>
          <w:rFonts w:hint="eastAsia" w:ascii="Times New Roman" w:hAnsi="Times New Roman" w:eastAsia="仿宋_GB2312" w:cs="仿宋_GB2312"/>
          <w:b w:val="0"/>
          <w:bCs/>
          <w:color w:val="auto"/>
          <w:sz w:val="32"/>
          <w:szCs w:val="32"/>
          <w:highlight w:val="none"/>
          <w:u w:val="none"/>
          <w:shd w:val="clear" w:color="auto" w:fill="auto"/>
          <w:lang w:val="en-US" w:eastAsia="zh-CN"/>
        </w:rPr>
        <w:t>我总队2022年从树立理念、建设制度、联合行动、项目推进等多方面入手，建立了全方位、多层次、立体化的海洋生态保护综合执法机制，有力打击了各项破坏海洋生态环境违法行为，有效维护了</w:t>
      </w:r>
      <w:r>
        <w:rPr>
          <w:rFonts w:hint="eastAsia" w:ascii="Times New Roman" w:hAnsi="Times New Roman" w:eastAsia="仿宋_GB2312" w:cs="仿宋_GB2312"/>
          <w:kern w:val="2"/>
          <w:sz w:val="32"/>
          <w:szCs w:val="32"/>
          <w:lang w:val="en-US" w:eastAsia="zh-CN" w:bidi="ar-SA"/>
        </w:rPr>
        <w:t>海洋环境和生态资源的可持续利用</w:t>
      </w:r>
      <w:r>
        <w:rPr>
          <w:rFonts w:hint="eastAsia" w:ascii="Times New Roman" w:hAnsi="Times New Roman" w:eastAsia="仿宋_GB2312" w:cs="仿宋_GB2312"/>
          <w:b w:val="0"/>
          <w:bCs/>
          <w:color w:val="auto"/>
          <w:sz w:val="32"/>
          <w:szCs w:val="32"/>
          <w:highlight w:val="none"/>
          <w:u w:val="none"/>
          <w:shd w:val="clear" w:color="auto" w:fill="auto"/>
          <w:lang w:val="en-US" w:eastAsia="zh-CN"/>
        </w:rPr>
        <w:t>。一是组织开展“靖海2022”、“碧海2022”专项执法行动，聚焦海上采砂、倾废、海水养殖、排污入海、海螺垃圾等严重威胁海洋生态环境行为，排查多处海洋工程、船舶、入海排污口、海上风电项目等重点领域，查处“汕汕铁路”擅自开工建设，有力震慑破坏海洋生态环境违法行为；二是围绕服务企业发展、保障社会经济建设开展执法工作，得到相关企业对执法工作的理解和认可；三是积极会同各部门开展联合执法行动，形成齐抓共管合理，有力净化海洋开发利用环境；四是着力推进市县海洋综合执法队伍改革，海洋综合执法新体制、新模式逐渐完善，海洋综合执法能力全面提升。</w:t>
      </w:r>
      <w:r>
        <w:rPr>
          <w:rFonts w:hint="eastAsia" w:ascii="Times New Roman" w:hAnsi="Times New Roman" w:eastAsia="仿宋_GB2312" w:cs="仿宋_GB2312"/>
          <w:kern w:val="2"/>
          <w:sz w:val="32"/>
          <w:szCs w:val="32"/>
          <w:highlight w:val="none"/>
          <w:lang w:val="en-US" w:eastAsia="zh-CN" w:bidi="ar-SA"/>
        </w:rPr>
        <w:t>本项指标自评得分为满分</w:t>
      </w:r>
      <w:r>
        <w:rPr>
          <w:rFonts w:hint="eastAsia" w:ascii="Times New Roman" w:hAnsi="Times New Roman" w:eastAsia="仿宋_GB2312" w:cs="仿宋_GB2312"/>
          <w:b w:val="0"/>
          <w:bCs/>
          <w:color w:val="auto"/>
          <w:sz w:val="32"/>
          <w:szCs w:val="32"/>
          <w:highlight w:val="none"/>
          <w:u w:val="none"/>
          <w:shd w:val="clear" w:color="auto" w:fill="auto"/>
          <w:lang w:val="en-US" w:eastAsia="zh-CN"/>
        </w:rPr>
        <w:t>。</w:t>
      </w:r>
    </w:p>
    <w:p>
      <w:pPr>
        <w:pStyle w:val="2"/>
        <w:keepNext w:val="0"/>
        <w:keepLines w:val="0"/>
        <w:pageBreakBefore w:val="0"/>
        <w:numPr>
          <w:ilvl w:val="0"/>
          <w:numId w:val="11"/>
        </w:numPr>
        <w:kinsoku/>
        <w:wordWrap/>
        <w:overflowPunct/>
        <w:topLinePunct w:val="0"/>
        <w:autoSpaceDE/>
        <w:autoSpaceDN/>
        <w:bidi w:val="0"/>
        <w:spacing w:line="560" w:lineRule="exact"/>
        <w:ind w:left="0" w:leftChars="0" w:firstLine="640" w:firstLineChars="200"/>
        <w:textAlignment w:val="auto"/>
        <w:outlineLvl w:val="2"/>
        <w:rPr>
          <w:rFonts w:hint="eastAsia" w:ascii="Times New Roman" w:hAnsi="Times New Roman" w:eastAsia="仿宋_GB2312" w:cs="仿宋_GB2312"/>
          <w:kern w:val="2"/>
          <w:sz w:val="32"/>
          <w:szCs w:val="32"/>
          <w:lang w:val="en-US" w:eastAsia="zh-CN" w:bidi="ar-SA"/>
        </w:rPr>
      </w:pPr>
      <w:bookmarkStart w:id="41" w:name="_Toc13520"/>
      <w:r>
        <w:rPr>
          <w:rFonts w:hint="eastAsia" w:ascii="Times New Roman" w:hAnsi="Times New Roman" w:eastAsia="仿宋_GB2312" w:cs="仿宋_GB2312"/>
          <w:kern w:val="2"/>
          <w:sz w:val="32"/>
          <w:szCs w:val="32"/>
          <w:lang w:val="en-US" w:eastAsia="zh-CN" w:bidi="ar-SA"/>
        </w:rPr>
        <w:t>服务对象满意度指标</w:t>
      </w:r>
      <w:bookmarkEnd w:id="41"/>
    </w:p>
    <w:p>
      <w:pPr>
        <w:pStyle w:val="2"/>
        <w:keepNext w:val="0"/>
        <w:keepLines w:val="0"/>
        <w:pageBreakBefore w:val="0"/>
        <w:numPr>
          <w:ilvl w:val="-1"/>
          <w:numId w:val="0"/>
        </w:numPr>
        <w:kinsoku/>
        <w:wordWrap/>
        <w:overflowPunct/>
        <w:topLinePunct w:val="0"/>
        <w:autoSpaceDE/>
        <w:autoSpaceDN/>
        <w:bidi w:val="0"/>
        <w:spacing w:line="560" w:lineRule="exact"/>
        <w:ind w:left="0" w:leftChars="0" w:firstLine="64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服务对象满意度指标设置了“渔民满意度”1个三级指标。此项自评得分5分，得分率100%。</w:t>
      </w:r>
    </w:p>
    <w:p>
      <w:pPr>
        <w:pStyle w:val="2"/>
        <w:keepNext w:val="0"/>
        <w:keepLines w:val="0"/>
        <w:pageBreakBefore w:val="0"/>
        <w:numPr>
          <w:ilvl w:val="-1"/>
          <w:numId w:val="0"/>
        </w:numPr>
        <w:kinsoku/>
        <w:wordWrap/>
        <w:overflowPunct/>
        <w:topLinePunct w:val="0"/>
        <w:autoSpaceDE/>
        <w:autoSpaceDN/>
        <w:bidi w:val="0"/>
        <w:spacing w:line="560" w:lineRule="exact"/>
        <w:ind w:left="0" w:leftChars="0" w:firstLine="640" w:firstLineChars="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2022年度我总队综合执法工作得到渔民认可。为防止执法行动存在违规违纪情况，提高海洋综合执法能力水平，我总队针对渔民开展了无记名的问卷调查。发出调查问卷20份，收回调查问卷20份，调查结果显示渔民满意度为100%，</w:t>
      </w:r>
      <w:r>
        <w:rPr>
          <w:rFonts w:hint="eastAsia" w:ascii="Times New Roman" w:hAnsi="Times New Roman" w:eastAsia="仿宋_GB2312" w:cs="仿宋_GB2312"/>
          <w:sz w:val="32"/>
          <w:szCs w:val="32"/>
          <w:highlight w:val="none"/>
          <w:lang w:val="en-US" w:eastAsia="zh-CN"/>
        </w:rPr>
        <w:t>达到绩效指标目标值，</w:t>
      </w:r>
      <w:r>
        <w:rPr>
          <w:rFonts w:hint="eastAsia" w:ascii="Times New Roman" w:hAnsi="Times New Roman" w:eastAsia="仿宋_GB2312" w:cs="仿宋_GB2312"/>
          <w:kern w:val="2"/>
          <w:sz w:val="32"/>
          <w:szCs w:val="32"/>
          <w:highlight w:val="none"/>
          <w:lang w:val="en-US" w:eastAsia="zh-CN" w:bidi="ar-SA"/>
        </w:rPr>
        <w:t>本项指标自评得分为满分</w:t>
      </w:r>
      <w:r>
        <w:rPr>
          <w:rFonts w:hint="eastAsia" w:ascii="Times New Roman" w:hAnsi="Times New Roman" w:eastAsia="仿宋_GB2312" w:cs="仿宋_GB2312"/>
          <w:b w:val="0"/>
          <w:bCs/>
          <w:color w:val="auto"/>
          <w:sz w:val="32"/>
          <w:szCs w:val="32"/>
          <w:highlight w:val="none"/>
          <w:u w:val="none"/>
          <w:shd w:val="clear" w:color="auto" w:fill="auto"/>
          <w:lang w:val="en-US" w:eastAsia="zh-CN"/>
        </w:rPr>
        <w:t>。</w:t>
      </w:r>
    </w:p>
    <w:p>
      <w:pPr>
        <w:pStyle w:val="2"/>
        <w:keepNext w:val="0"/>
        <w:keepLines w:val="0"/>
        <w:pageBreakBefore w:val="0"/>
        <w:numPr>
          <w:ilvl w:val="0"/>
          <w:numId w:val="9"/>
        </w:numPr>
        <w:kinsoku/>
        <w:wordWrap/>
        <w:overflowPunct/>
        <w:topLinePunct w:val="0"/>
        <w:autoSpaceDE/>
        <w:autoSpaceDN/>
        <w:bidi w:val="0"/>
        <w:spacing w:line="560"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部门预算资金支出率。该指标反映部门预算资金支出进度，分值10分。根据省财厅考核评价结果，该项指标得分</w:t>
      </w:r>
      <w:r>
        <w:rPr>
          <w:rFonts w:hint="eastAsia" w:ascii="Times New Roman" w:hAnsi="Times New Roman" w:eastAsia="仿宋_GB2312" w:cs="仿宋_GB2312"/>
          <w:kern w:val="2"/>
          <w:sz w:val="32"/>
          <w:szCs w:val="32"/>
          <w:highlight w:val="none"/>
          <w:lang w:val="en-US" w:eastAsia="zh-CN" w:bidi="ar-SA"/>
        </w:rPr>
        <w:t>9.79分，得分率97.90%。</w:t>
      </w:r>
    </w:p>
    <w:p>
      <w:pPr>
        <w:keepNext w:val="0"/>
        <w:keepLines w:val="0"/>
        <w:pageBreakBefore w:val="0"/>
        <w:numPr>
          <w:ilvl w:val="0"/>
          <w:numId w:val="0"/>
        </w:numPr>
        <w:kinsoku/>
        <w:wordWrap/>
        <w:overflowPunct/>
        <w:topLinePunct w:val="0"/>
        <w:autoSpaceDE/>
        <w:autoSpaceDN/>
        <w:bidi w:val="0"/>
        <w:snapToGrid w:val="0"/>
        <w:spacing w:line="560" w:lineRule="exact"/>
        <w:ind w:firstLine="643" w:firstLineChars="200"/>
        <w:textAlignment w:val="auto"/>
        <w:outlineLvl w:val="1"/>
        <w:rPr>
          <w:rFonts w:hint="eastAsia" w:ascii="Times New Roman" w:hAnsi="Times New Roman" w:eastAsia="CESI楷体-GB2312" w:cs="CESI楷体-GB2312"/>
          <w:b/>
          <w:bCs/>
          <w:kern w:val="2"/>
          <w:sz w:val="32"/>
          <w:szCs w:val="32"/>
          <w:u w:val="none"/>
          <w:lang w:val="en-US" w:eastAsia="zh-CN"/>
        </w:rPr>
      </w:pPr>
      <w:bookmarkStart w:id="42" w:name="_Toc22419"/>
      <w:bookmarkStart w:id="43" w:name="_Toc16115"/>
      <w:r>
        <w:rPr>
          <w:rFonts w:hint="eastAsia" w:ascii="Times New Roman" w:hAnsi="Times New Roman" w:eastAsia="CESI楷体-GB2312" w:cs="CESI楷体-GB2312"/>
          <w:b/>
          <w:bCs/>
          <w:kern w:val="2"/>
          <w:sz w:val="32"/>
          <w:szCs w:val="32"/>
          <w:u w:val="none"/>
          <w:lang w:val="en-US" w:eastAsia="zh-CN"/>
        </w:rPr>
        <w:t>（三）管理效率分析</w:t>
      </w:r>
      <w:bookmarkEnd w:id="42"/>
      <w:bookmarkEnd w:id="43"/>
    </w:p>
    <w:p>
      <w:pPr>
        <w:keepNext w:val="0"/>
        <w:keepLines w:val="0"/>
        <w:pageBreakBefore w:val="0"/>
        <w:numPr>
          <w:ilvl w:val="0"/>
          <w:numId w:val="0"/>
        </w:numPr>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根据《部门整体支出绩效自评指标评分表（无专项资金）》，一级指标“管理效率”由预算编制、预算执行、信息公开、绩效管理、采购管理、资产管理、运行成本等7个二级指标、21个三级指标组成，总分50分，权重50%。我总队在管理效率方面</w:t>
      </w:r>
      <w:r>
        <w:rPr>
          <w:rFonts w:hint="eastAsia" w:ascii="Times New Roman" w:hAnsi="Times New Roman" w:eastAsia="仿宋_GB2312" w:cs="仿宋_GB2312"/>
          <w:kern w:val="2"/>
          <w:sz w:val="32"/>
          <w:szCs w:val="32"/>
          <w:highlight w:val="none"/>
          <w:lang w:val="en-US" w:eastAsia="zh-CN" w:bidi="ar-SA"/>
        </w:rPr>
        <w:t>自评得分47.3分，得分率94.60%。</w:t>
      </w:r>
      <w:r>
        <w:rPr>
          <w:rFonts w:hint="eastAsia" w:ascii="Times New Roman" w:hAnsi="Times New Roman" w:eastAsia="仿宋_GB2312" w:cs="仿宋_GB2312"/>
          <w:kern w:val="2"/>
          <w:sz w:val="32"/>
          <w:szCs w:val="32"/>
          <w:lang w:val="en-US" w:eastAsia="zh-CN" w:bidi="ar-SA"/>
        </w:rPr>
        <w:t>具体指标分析如下：</w:t>
      </w:r>
    </w:p>
    <w:p>
      <w:pPr>
        <w:pStyle w:val="2"/>
        <w:keepNext w:val="0"/>
        <w:keepLines w:val="0"/>
        <w:pageBreakBefore w:val="0"/>
        <w:numPr>
          <w:ilvl w:val="0"/>
          <w:numId w:val="12"/>
        </w:numPr>
        <w:kinsoku/>
        <w:wordWrap/>
        <w:overflowPunct/>
        <w:topLinePunct w:val="0"/>
        <w:autoSpaceDE/>
        <w:autoSpaceDN/>
        <w:bidi w:val="0"/>
        <w:spacing w:line="560" w:lineRule="exact"/>
        <w:textAlignment w:val="auto"/>
        <w:outlineLvl w:val="2"/>
        <w:rPr>
          <w:rFonts w:hint="eastAsia" w:ascii="Times New Roman" w:hAnsi="Times New Roman" w:eastAsia="仿宋_GB2312" w:cs="仿宋_GB2312"/>
          <w:kern w:val="2"/>
          <w:sz w:val="32"/>
          <w:szCs w:val="32"/>
          <w:lang w:val="en-US" w:eastAsia="zh-CN" w:bidi="ar-SA"/>
        </w:rPr>
      </w:pPr>
      <w:bookmarkStart w:id="44" w:name="_Toc24703"/>
      <w:bookmarkStart w:id="45" w:name="_Toc15189"/>
      <w:r>
        <w:rPr>
          <w:rFonts w:hint="eastAsia" w:ascii="Times New Roman" w:hAnsi="Times New Roman" w:eastAsia="仿宋_GB2312" w:cs="仿宋_GB2312"/>
          <w:kern w:val="2"/>
          <w:sz w:val="32"/>
          <w:szCs w:val="32"/>
          <w:lang w:val="en-US" w:eastAsia="zh-CN" w:bidi="ar-SA"/>
        </w:rPr>
        <w:t>预算编制</w:t>
      </w:r>
      <w:bookmarkEnd w:id="44"/>
      <w:bookmarkEnd w:id="45"/>
    </w:p>
    <w:p>
      <w:pPr>
        <w:pStyle w:val="2"/>
        <w:keepNext w:val="0"/>
        <w:keepLines w:val="0"/>
        <w:pageBreakBefore w:val="0"/>
        <w:numPr>
          <w:ilvl w:val="-1"/>
          <w:numId w:val="0"/>
        </w:numPr>
        <w:kinsoku/>
        <w:wordWrap/>
        <w:overflowPunct/>
        <w:topLinePunct w:val="0"/>
        <w:autoSpaceDE/>
        <w:autoSpaceDN/>
        <w:bidi w:val="0"/>
        <w:spacing w:line="560" w:lineRule="exact"/>
        <w:ind w:firstLine="640"/>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新增项目事前绩效评估。该指标反映部门对申请新增预算的入库项目开展事前绩效评估工作的落实情况，分值2分。2022年，</w:t>
      </w:r>
      <w:r>
        <w:rPr>
          <w:rFonts w:hint="eastAsia" w:ascii="Times New Roman" w:hAnsi="Times New Roman" w:eastAsia="仿宋_GB2312" w:cs="仿宋_GB2312"/>
          <w:kern w:val="2"/>
          <w:sz w:val="32"/>
          <w:szCs w:val="32"/>
          <w:highlight w:val="none"/>
          <w:lang w:val="en-US" w:eastAsia="zh-CN" w:bidi="ar-SA"/>
        </w:rPr>
        <w:t>我总队无新增入库项目</w:t>
      </w:r>
      <w:r>
        <w:rPr>
          <w:rFonts w:hint="eastAsia" w:ascii="Times New Roman" w:hAnsi="Times New Roman" w:eastAsia="仿宋_GB2312" w:cs="仿宋_GB2312"/>
          <w:kern w:val="2"/>
          <w:sz w:val="32"/>
          <w:szCs w:val="32"/>
          <w:lang w:val="en-US" w:eastAsia="zh-CN" w:bidi="ar-SA"/>
        </w:rPr>
        <w:t>，故无新增项目事前绩效评估内容，此项自评得分2分，得分率100%。</w:t>
      </w:r>
    </w:p>
    <w:p>
      <w:pPr>
        <w:pStyle w:val="2"/>
        <w:keepNext w:val="0"/>
        <w:keepLines w:val="0"/>
        <w:pageBreakBefore w:val="0"/>
        <w:numPr>
          <w:ilvl w:val="0"/>
          <w:numId w:val="12"/>
        </w:numPr>
        <w:kinsoku/>
        <w:wordWrap/>
        <w:overflowPunct/>
        <w:topLinePunct w:val="0"/>
        <w:autoSpaceDE/>
        <w:autoSpaceDN/>
        <w:bidi w:val="0"/>
        <w:spacing w:line="560" w:lineRule="exact"/>
        <w:textAlignment w:val="auto"/>
        <w:outlineLvl w:val="2"/>
        <w:rPr>
          <w:rFonts w:hint="eastAsia" w:ascii="Times New Roman" w:hAnsi="Times New Roman" w:eastAsia="仿宋_GB2312" w:cs="仿宋_GB2312"/>
          <w:kern w:val="2"/>
          <w:sz w:val="32"/>
          <w:szCs w:val="32"/>
          <w:lang w:val="en-US" w:eastAsia="zh-CN" w:bidi="ar-SA"/>
        </w:rPr>
      </w:pPr>
      <w:bookmarkStart w:id="46" w:name="_Toc16858"/>
      <w:bookmarkStart w:id="47" w:name="_Toc8646"/>
      <w:r>
        <w:rPr>
          <w:rFonts w:hint="eastAsia" w:ascii="Times New Roman" w:hAnsi="Times New Roman" w:eastAsia="仿宋_GB2312" w:cs="仿宋_GB2312"/>
          <w:kern w:val="2"/>
          <w:sz w:val="32"/>
          <w:szCs w:val="32"/>
          <w:lang w:val="en-US" w:eastAsia="zh-CN" w:bidi="ar-SA"/>
        </w:rPr>
        <w:t>预算执行</w:t>
      </w:r>
      <w:bookmarkEnd w:id="46"/>
      <w:bookmarkEnd w:id="47"/>
    </w:p>
    <w:p>
      <w:pPr>
        <w:pStyle w:val="2"/>
        <w:keepNext w:val="0"/>
        <w:keepLines w:val="0"/>
        <w:pageBreakBefore w:val="0"/>
        <w:numPr>
          <w:ilvl w:val="0"/>
          <w:numId w:val="13"/>
        </w:numPr>
        <w:kinsoku/>
        <w:wordWrap/>
        <w:overflowPunct/>
        <w:topLinePunct w:val="0"/>
        <w:autoSpaceDE/>
        <w:autoSpaceDN/>
        <w:bidi w:val="0"/>
        <w:spacing w:line="560"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预算编制约束性。该指标反映部门预算的调剂、年中追加资金情况，分值4分。我总队2022年发生预算调剂</w:t>
      </w:r>
      <w:r>
        <w:rPr>
          <w:rFonts w:hint="eastAsia" w:ascii="Times New Roman" w:hAnsi="Times New Roman" w:eastAsia="仿宋_GB2312" w:cs="仿宋_GB2312"/>
          <w:kern w:val="2"/>
          <w:sz w:val="32"/>
          <w:szCs w:val="32"/>
          <w:highlight w:val="none"/>
          <w:lang w:val="en-US" w:eastAsia="zh-CN" w:bidi="ar-SA"/>
        </w:rPr>
        <w:t>851.11</w:t>
      </w:r>
      <w:r>
        <w:rPr>
          <w:rFonts w:hint="eastAsia" w:ascii="Times New Roman" w:hAnsi="Times New Roman" w:eastAsia="仿宋_GB2312" w:cs="仿宋_GB2312"/>
          <w:kern w:val="2"/>
          <w:sz w:val="32"/>
          <w:szCs w:val="32"/>
          <w:lang w:val="en-US" w:eastAsia="zh-CN" w:bidi="ar-SA"/>
        </w:rPr>
        <w:t>万元，年中追加资金11,570.20万元。根据省财政厅（预算处）考核评价结果，此项得分4分，得分率100%</w:t>
      </w:r>
      <w:r>
        <w:rPr>
          <w:rFonts w:hint="eastAsia" w:ascii="Times New Roman" w:hAnsi="Times New Roman" w:eastAsia="仿宋_GB2312" w:cs="仿宋_GB2312"/>
          <w:kern w:val="2"/>
          <w:sz w:val="32"/>
          <w:szCs w:val="32"/>
          <w:highlight w:val="none"/>
          <w:lang w:val="en-US" w:eastAsia="zh-CN" w:bidi="ar-SA"/>
        </w:rPr>
        <w:t>。</w:t>
      </w:r>
    </w:p>
    <w:p>
      <w:pPr>
        <w:pStyle w:val="2"/>
        <w:keepNext w:val="0"/>
        <w:keepLines w:val="0"/>
        <w:pageBreakBefore w:val="0"/>
        <w:numPr>
          <w:ilvl w:val="0"/>
          <w:numId w:val="13"/>
        </w:numPr>
        <w:kinsoku/>
        <w:wordWrap/>
        <w:overflowPunct/>
        <w:topLinePunct w:val="0"/>
        <w:autoSpaceDE/>
        <w:autoSpaceDN/>
        <w:bidi w:val="0"/>
        <w:spacing w:line="560" w:lineRule="exact"/>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财务管理合规性。该指标反映部门财务管理的规范性，分值3分。2022年我总队财务管理规范，严格按照《广东省海洋综合执法总队财务管理暂行办法》进行资金管理。规范执行会计核算制度，没有出现虚列支出，截留、挤占、挪用资金的情况。经审计考核和财会监督，不存在问题。此项自评得分3分，得分率100%。</w:t>
      </w:r>
    </w:p>
    <w:p>
      <w:pPr>
        <w:pStyle w:val="2"/>
        <w:keepNext w:val="0"/>
        <w:keepLines w:val="0"/>
        <w:pageBreakBefore w:val="0"/>
        <w:numPr>
          <w:ilvl w:val="0"/>
          <w:numId w:val="12"/>
        </w:numPr>
        <w:kinsoku/>
        <w:wordWrap/>
        <w:overflowPunct/>
        <w:topLinePunct w:val="0"/>
        <w:autoSpaceDE/>
        <w:autoSpaceDN/>
        <w:bidi w:val="0"/>
        <w:spacing w:line="560" w:lineRule="exact"/>
        <w:textAlignment w:val="auto"/>
        <w:outlineLvl w:val="2"/>
        <w:rPr>
          <w:rFonts w:hint="eastAsia" w:ascii="Times New Roman" w:hAnsi="Times New Roman" w:eastAsia="仿宋_GB2312" w:cs="仿宋_GB2312"/>
          <w:kern w:val="2"/>
          <w:sz w:val="32"/>
          <w:szCs w:val="32"/>
          <w:lang w:val="en-US" w:eastAsia="zh-CN" w:bidi="ar-SA"/>
        </w:rPr>
      </w:pPr>
      <w:bookmarkStart w:id="48" w:name="_Toc5917"/>
      <w:bookmarkStart w:id="49" w:name="_Toc25948"/>
      <w:r>
        <w:rPr>
          <w:rFonts w:hint="eastAsia" w:ascii="Times New Roman" w:hAnsi="Times New Roman" w:eastAsia="仿宋_GB2312" w:cs="仿宋_GB2312"/>
          <w:kern w:val="2"/>
          <w:sz w:val="32"/>
          <w:szCs w:val="32"/>
          <w:lang w:val="en-US" w:eastAsia="zh-CN" w:bidi="ar-SA"/>
        </w:rPr>
        <w:t>信息公开</w:t>
      </w:r>
      <w:bookmarkEnd w:id="48"/>
      <w:bookmarkEnd w:id="49"/>
    </w:p>
    <w:p>
      <w:pPr>
        <w:pStyle w:val="2"/>
        <w:keepNext w:val="0"/>
        <w:keepLines w:val="0"/>
        <w:pageBreakBefore w:val="0"/>
        <w:numPr>
          <w:ilvl w:val="0"/>
          <w:numId w:val="14"/>
        </w:numPr>
        <w:kinsoku/>
        <w:wordWrap/>
        <w:overflowPunct/>
        <w:topLinePunct w:val="0"/>
        <w:autoSpaceDE/>
        <w:autoSpaceDN/>
        <w:bidi w:val="0"/>
        <w:spacing w:line="560" w:lineRule="exact"/>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预决算公开合规性。该指标反映部门（单位）预算决算公开执行的到位情况，分值2分。我总队已按照政府信息公开有关规定按时公开相关预决算信息。根据省财厅考核评价结果，此项得分2分，得分率100%。</w:t>
      </w:r>
    </w:p>
    <w:p>
      <w:pPr>
        <w:pStyle w:val="2"/>
        <w:keepNext w:val="0"/>
        <w:keepLines w:val="0"/>
        <w:pageBreakBefore w:val="0"/>
        <w:numPr>
          <w:ilvl w:val="0"/>
          <w:numId w:val="14"/>
        </w:numPr>
        <w:kinsoku/>
        <w:wordWrap/>
        <w:overflowPunct/>
        <w:topLinePunct w:val="0"/>
        <w:autoSpaceDE/>
        <w:autoSpaceDN/>
        <w:bidi w:val="0"/>
        <w:spacing w:line="560" w:lineRule="exact"/>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绩效信息公开情况。该指标反映部门（单位）绩效信息公开执行到位情况，分值1分。我总队已按照政府信息公开有关规定按时公开相关绩效信息。此项自评得分1分，得分率100%。</w:t>
      </w:r>
    </w:p>
    <w:p>
      <w:pPr>
        <w:pStyle w:val="2"/>
        <w:keepNext w:val="0"/>
        <w:keepLines w:val="0"/>
        <w:pageBreakBefore w:val="0"/>
        <w:numPr>
          <w:ilvl w:val="0"/>
          <w:numId w:val="12"/>
        </w:numPr>
        <w:kinsoku/>
        <w:wordWrap/>
        <w:overflowPunct/>
        <w:topLinePunct w:val="0"/>
        <w:autoSpaceDE/>
        <w:autoSpaceDN/>
        <w:bidi w:val="0"/>
        <w:spacing w:line="560" w:lineRule="exact"/>
        <w:ind w:left="0" w:leftChars="0" w:firstLine="640" w:firstLineChars="200"/>
        <w:textAlignment w:val="auto"/>
        <w:outlineLvl w:val="2"/>
        <w:rPr>
          <w:rFonts w:hint="eastAsia" w:ascii="Times New Roman" w:hAnsi="Times New Roman" w:eastAsia="仿宋_GB2312" w:cs="仿宋_GB2312"/>
          <w:kern w:val="2"/>
          <w:sz w:val="32"/>
          <w:szCs w:val="32"/>
          <w:lang w:val="en-US" w:eastAsia="zh-CN" w:bidi="ar-SA"/>
        </w:rPr>
      </w:pPr>
      <w:bookmarkStart w:id="50" w:name="_Toc8782"/>
      <w:bookmarkStart w:id="51" w:name="_Toc22731"/>
      <w:r>
        <w:rPr>
          <w:rFonts w:hint="eastAsia" w:ascii="Times New Roman" w:hAnsi="Times New Roman" w:eastAsia="仿宋_GB2312" w:cs="仿宋_GB2312"/>
          <w:kern w:val="2"/>
          <w:sz w:val="32"/>
          <w:szCs w:val="32"/>
          <w:lang w:val="en-US" w:eastAsia="zh-CN" w:bidi="ar-SA"/>
        </w:rPr>
        <w:t>绩效管理</w:t>
      </w:r>
      <w:bookmarkEnd w:id="50"/>
      <w:bookmarkEnd w:id="51"/>
    </w:p>
    <w:p>
      <w:pPr>
        <w:pStyle w:val="2"/>
        <w:keepNext w:val="0"/>
        <w:keepLines w:val="0"/>
        <w:pageBreakBefore w:val="0"/>
        <w:numPr>
          <w:ilvl w:val="0"/>
          <w:numId w:val="15"/>
        </w:numPr>
        <w:kinsoku/>
        <w:wordWrap/>
        <w:overflowPunct/>
        <w:topLinePunct w:val="0"/>
        <w:autoSpaceDE/>
        <w:autoSpaceDN/>
        <w:bidi w:val="0"/>
        <w:spacing w:line="560" w:lineRule="exact"/>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绩效管理制度建设。该指标反映部门对机关和下属单位绩效目标管理、绩效运行监控、绩效评价管理和评价结果应用等预算绩效管理制度的建设情况，分值5分。</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kern w:val="2"/>
          <w:sz w:val="32"/>
          <w:szCs w:val="32"/>
          <w:highlight w:val="yellow"/>
          <w:lang w:val="en-US" w:eastAsia="zh-CN" w:bidi="ar-SA"/>
        </w:rPr>
      </w:pPr>
      <w:r>
        <w:rPr>
          <w:rFonts w:hint="eastAsia" w:ascii="Times New Roman" w:hAnsi="Times New Roman" w:eastAsia="仿宋_GB2312" w:cs="仿宋_GB2312"/>
          <w:kern w:val="2"/>
          <w:sz w:val="32"/>
          <w:szCs w:val="32"/>
          <w:lang w:val="en-US" w:eastAsia="zh-CN" w:bidi="ar-SA"/>
        </w:rPr>
        <w:t>在绩效管理制度建设方面，我总队已按照财政部门要求，制定了预算绩效管理办法，正在进行上会审核流程。管理办法明确了我总队各处室、下属预算单位的绩效职责分工，包含绩效目标管理、绩效运行监控、绩效评价管理和评价结果应用，为我总队开展预算绩效管理工作提供了坚实的制度保障。</w:t>
      </w:r>
      <w:r>
        <w:rPr>
          <w:rFonts w:hint="eastAsia" w:ascii="Times New Roman" w:hAnsi="Times New Roman" w:eastAsia="仿宋_GB2312" w:cs="仿宋_GB2312"/>
          <w:kern w:val="2"/>
          <w:sz w:val="32"/>
          <w:szCs w:val="32"/>
          <w:highlight w:val="none"/>
          <w:lang w:val="en-US" w:eastAsia="zh-CN" w:bidi="ar-SA"/>
        </w:rPr>
        <w:t>该项自评得分5分，得分率100%。</w:t>
      </w:r>
    </w:p>
    <w:p>
      <w:pPr>
        <w:pStyle w:val="2"/>
        <w:keepNext w:val="0"/>
        <w:keepLines w:val="0"/>
        <w:pageBreakBefore w:val="0"/>
        <w:numPr>
          <w:ilvl w:val="0"/>
          <w:numId w:val="15"/>
        </w:numPr>
        <w:kinsoku/>
        <w:wordWrap/>
        <w:overflowPunct/>
        <w:topLinePunct w:val="0"/>
        <w:autoSpaceDE/>
        <w:autoSpaceDN/>
        <w:bidi w:val="0"/>
        <w:spacing w:line="560" w:lineRule="exact"/>
        <w:ind w:left="0" w:leftChars="0"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lang w:val="en-US" w:eastAsia="zh-CN" w:bidi="ar-SA"/>
        </w:rPr>
        <w:t>绩效管理制度执行。该指标反映部门和下属单位在绩效目标管理、绩效运行监控、绩效评价管理和评价结果应用等方面的执行情况，分值10分。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我总队</w:t>
      </w:r>
      <w:r>
        <w:rPr>
          <w:rFonts w:hint="eastAsia" w:ascii="Times New Roman" w:hAnsi="Times New Roman" w:eastAsia="仿宋_GB2312" w:cs="仿宋_GB2312"/>
          <w:sz w:val="32"/>
          <w:szCs w:val="32"/>
          <w:lang w:eastAsia="zh-CN"/>
        </w:rPr>
        <w:t>根据全面实施预算绩效管理的要求，</w:t>
      </w:r>
      <w:r>
        <w:rPr>
          <w:rFonts w:hint="eastAsia" w:ascii="Times New Roman" w:hAnsi="Times New Roman" w:eastAsia="仿宋_GB2312" w:cs="仿宋_GB2312"/>
          <w:sz w:val="32"/>
          <w:szCs w:val="32"/>
          <w:lang w:val="en-US" w:eastAsia="zh-CN"/>
        </w:rPr>
        <w:t>严格按照各项资金和绩效管理制度开展工作，</w:t>
      </w:r>
      <w:r>
        <w:rPr>
          <w:rFonts w:hint="eastAsia" w:ascii="Times New Roman" w:hAnsi="Times New Roman" w:eastAsia="仿宋_GB2312" w:cs="仿宋_GB2312"/>
          <w:sz w:val="32"/>
          <w:szCs w:val="32"/>
          <w:lang w:eastAsia="zh-CN"/>
        </w:rPr>
        <w:t>确保工作有序进行。夯实绩效管理的各环节，</w:t>
      </w:r>
      <w:r>
        <w:rPr>
          <w:rFonts w:hint="eastAsia" w:ascii="Times New Roman" w:hAnsi="Times New Roman" w:eastAsia="仿宋_GB2312" w:cs="仿宋_GB2312"/>
          <w:sz w:val="32"/>
          <w:szCs w:val="32"/>
          <w:lang w:val="en-US" w:eastAsia="zh-CN"/>
        </w:rPr>
        <w:t>全力提高部门整体预算绩效目标和项目绩效目标编制质量</w:t>
      </w:r>
      <w:r>
        <w:rPr>
          <w:rFonts w:hint="eastAsia" w:ascii="Times New Roman" w:hAnsi="Times New Roman" w:eastAsia="仿宋_GB2312" w:cs="仿宋_GB2312"/>
          <w:sz w:val="32"/>
          <w:szCs w:val="32"/>
          <w:lang w:eastAsia="zh-CN"/>
        </w:rPr>
        <w:t>，按时</w:t>
      </w:r>
      <w:r>
        <w:rPr>
          <w:rFonts w:hint="eastAsia" w:ascii="Times New Roman" w:hAnsi="Times New Roman" w:eastAsia="仿宋_GB2312" w:cs="仿宋_GB2312"/>
          <w:sz w:val="32"/>
          <w:szCs w:val="32"/>
          <w:lang w:val="en-US" w:eastAsia="zh-CN"/>
        </w:rPr>
        <w:t>按</w:t>
      </w:r>
      <w:r>
        <w:rPr>
          <w:rFonts w:hint="eastAsia" w:ascii="Times New Roman" w:hAnsi="Times New Roman" w:eastAsia="仿宋_GB2312" w:cs="仿宋_GB2312"/>
          <w:sz w:val="32"/>
          <w:szCs w:val="32"/>
          <w:lang w:eastAsia="zh-CN"/>
        </w:rPr>
        <w:t>质完成绩效自评工作，确保自评结果准确、客观、实事求是。</w:t>
      </w:r>
      <w:r>
        <w:rPr>
          <w:rFonts w:hint="eastAsia" w:ascii="Times New Roman" w:hAnsi="Times New Roman" w:eastAsia="仿宋_GB2312" w:cs="仿宋_GB2312"/>
          <w:sz w:val="32"/>
          <w:szCs w:val="32"/>
          <w:lang w:val="en-US" w:eastAsia="zh-CN"/>
        </w:rPr>
        <w:t>根据省财政厅考核评价结果，此项得分9.5分，得分率95%。</w:t>
      </w:r>
    </w:p>
    <w:p>
      <w:pPr>
        <w:pStyle w:val="2"/>
        <w:keepNext w:val="0"/>
        <w:keepLines w:val="0"/>
        <w:pageBreakBefore w:val="0"/>
        <w:numPr>
          <w:ilvl w:val="0"/>
          <w:numId w:val="12"/>
        </w:numPr>
        <w:kinsoku/>
        <w:wordWrap/>
        <w:overflowPunct/>
        <w:topLinePunct w:val="0"/>
        <w:autoSpaceDE/>
        <w:autoSpaceDN/>
        <w:bidi w:val="0"/>
        <w:spacing w:line="560" w:lineRule="exact"/>
        <w:ind w:left="0" w:leftChars="0" w:firstLine="640" w:firstLineChars="200"/>
        <w:textAlignment w:val="auto"/>
        <w:outlineLvl w:val="2"/>
        <w:rPr>
          <w:rFonts w:hint="eastAsia" w:ascii="Times New Roman" w:hAnsi="Times New Roman" w:eastAsia="仿宋_GB2312" w:cs="仿宋_GB2312"/>
          <w:kern w:val="2"/>
          <w:sz w:val="32"/>
          <w:szCs w:val="32"/>
          <w:lang w:val="en-US" w:eastAsia="zh-CN" w:bidi="ar-SA"/>
        </w:rPr>
      </w:pPr>
      <w:bookmarkStart w:id="52" w:name="_Toc1692"/>
      <w:bookmarkStart w:id="53" w:name="_Toc20353"/>
      <w:r>
        <w:rPr>
          <w:rFonts w:hint="eastAsia" w:ascii="Times New Roman" w:hAnsi="Times New Roman" w:eastAsia="仿宋_GB2312" w:cs="仿宋_GB2312"/>
          <w:kern w:val="2"/>
          <w:sz w:val="32"/>
          <w:szCs w:val="32"/>
          <w:lang w:val="en-US" w:eastAsia="zh-CN" w:bidi="ar-SA"/>
        </w:rPr>
        <w:t>采购管理</w:t>
      </w:r>
      <w:bookmarkEnd w:id="52"/>
      <w:bookmarkEnd w:id="53"/>
    </w:p>
    <w:p>
      <w:pPr>
        <w:pStyle w:val="2"/>
        <w:keepNext w:val="0"/>
        <w:keepLines w:val="0"/>
        <w:pageBreakBefore w:val="0"/>
        <w:numPr>
          <w:ilvl w:val="0"/>
          <w:numId w:val="16"/>
        </w:numPr>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采购意向公开合规性。该指标反映采购意向公开完整性、及时性情况，分值2分。我总队严格按照采购管理办法规定，在部门预算批复后及时填报采购意向要素并公开采购意向。根据省财厅考核评价结果，</w:t>
      </w:r>
      <w:r>
        <w:rPr>
          <w:rFonts w:hint="eastAsia" w:ascii="Times New Roman" w:hAnsi="Times New Roman" w:eastAsia="仿宋_GB2312" w:cs="仿宋_GB2312"/>
          <w:sz w:val="32"/>
          <w:szCs w:val="32"/>
          <w:highlight w:val="none"/>
          <w:lang w:val="en-US" w:eastAsia="zh-CN"/>
        </w:rPr>
        <w:t>此项得分1.5分，得分率75.00%。</w:t>
      </w:r>
    </w:p>
    <w:p>
      <w:pPr>
        <w:pStyle w:val="2"/>
        <w:keepNext w:val="0"/>
        <w:keepLines w:val="0"/>
        <w:pageBreakBefore w:val="0"/>
        <w:numPr>
          <w:ilvl w:val="0"/>
          <w:numId w:val="16"/>
        </w:numPr>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采购内控制度建设。该指标反映部门政府采购内部控制管理制度建设情况，分值1分。我总队根据《中华人民共和国政府采购法》、《广东省预算单位政府采购活动内部控制事项清单》等法律法规及政策文件，并结合我总队实际，草拟了《广东省海洋综合执法总队政府采购内部控制管理规定》，保障了我总队采购工作有规可依。根据省财厅考核评价结果，此项得分1分，得分率100%。</w:t>
      </w:r>
    </w:p>
    <w:p>
      <w:pPr>
        <w:pStyle w:val="2"/>
        <w:keepNext w:val="0"/>
        <w:keepLines w:val="0"/>
        <w:pageBreakBefore w:val="0"/>
        <w:numPr>
          <w:ilvl w:val="0"/>
          <w:numId w:val="16"/>
        </w:numPr>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采购活动合规性。该指标反映部门政府采购活动合法合规性情况，分值2分。根据省财厅考核评价结果，此项得分2分，得分率100%。</w:t>
      </w:r>
    </w:p>
    <w:p>
      <w:pPr>
        <w:pStyle w:val="2"/>
        <w:keepNext w:val="0"/>
        <w:keepLines w:val="0"/>
        <w:pageBreakBefore w:val="0"/>
        <w:numPr>
          <w:ilvl w:val="0"/>
          <w:numId w:val="16"/>
        </w:numPr>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采购合同签订时效性。该指标反映政府采购合同签订及时性情况，分值3分。我总队严格执行“在中标、成交通知书发出之日起三十日内，按照采购文件确定的事项，及时签订政府采购合同”，</w:t>
      </w:r>
      <w:r>
        <w:rPr>
          <w:rFonts w:hint="eastAsia" w:ascii="Times New Roman" w:hAnsi="Times New Roman" w:eastAsia="仿宋_GB2312" w:cs="仿宋_GB2312"/>
          <w:sz w:val="32"/>
          <w:szCs w:val="32"/>
          <w:highlight w:val="none"/>
          <w:lang w:val="en-US" w:eastAsia="zh-CN"/>
        </w:rPr>
        <w:t>根据省财厅考核评价结果，此项得分3分，得分率100%。</w:t>
      </w:r>
    </w:p>
    <w:p>
      <w:pPr>
        <w:pStyle w:val="2"/>
        <w:keepNext w:val="0"/>
        <w:keepLines w:val="0"/>
        <w:pageBreakBefore w:val="0"/>
        <w:numPr>
          <w:ilvl w:val="0"/>
          <w:numId w:val="16"/>
        </w:numPr>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lang w:val="en-US" w:eastAsia="zh-CN"/>
        </w:rPr>
        <w:t>合同备案时效性。该指标反映采购合同备案及时性情况，分值1分。按照相关规定要求，自合同签订之日起2个工作日内需要在“广东省政府采购网”备案公开。我总</w:t>
      </w:r>
      <w:r>
        <w:rPr>
          <w:rFonts w:hint="eastAsia" w:ascii="Times New Roman" w:hAnsi="Times New Roman" w:eastAsia="仿宋_GB2312" w:cs="仿宋_GB2312"/>
          <w:sz w:val="32"/>
          <w:szCs w:val="32"/>
          <w:highlight w:val="none"/>
          <w:lang w:val="en-US" w:eastAsia="zh-CN"/>
        </w:rPr>
        <w:t>队存在采购合同备案不及时的情况，根据省财厅考核评价结果，此项得分0分，得分率0%。</w:t>
      </w:r>
    </w:p>
    <w:p>
      <w:pPr>
        <w:pStyle w:val="2"/>
        <w:keepNext w:val="0"/>
        <w:keepLines w:val="0"/>
        <w:pageBreakBefore w:val="0"/>
        <w:numPr>
          <w:ilvl w:val="0"/>
          <w:numId w:val="16"/>
        </w:numPr>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采购政策效能。该指标反映部门采购政策执行的效果情况，分值1分。我总队按照《政府采购促进中小企业发展管理办法》要求，2022年面向中小企业采购项目预留金额共计 2,881.42万元，大于预算编制时面向中小企业预留采购金额。此项自评得分1分，得分率100%。</w:t>
      </w:r>
    </w:p>
    <w:p>
      <w:pPr>
        <w:pStyle w:val="2"/>
        <w:keepNext w:val="0"/>
        <w:keepLines w:val="0"/>
        <w:pageBreakBefore w:val="0"/>
        <w:numPr>
          <w:ilvl w:val="0"/>
          <w:numId w:val="12"/>
        </w:numPr>
        <w:kinsoku/>
        <w:wordWrap/>
        <w:overflowPunct/>
        <w:topLinePunct w:val="0"/>
        <w:autoSpaceDE/>
        <w:autoSpaceDN/>
        <w:bidi w:val="0"/>
        <w:spacing w:line="560" w:lineRule="exact"/>
        <w:ind w:left="0" w:leftChars="0" w:firstLine="640" w:firstLineChars="200"/>
        <w:textAlignment w:val="auto"/>
        <w:outlineLvl w:val="2"/>
        <w:rPr>
          <w:rFonts w:hint="eastAsia" w:ascii="Times New Roman" w:hAnsi="Times New Roman" w:eastAsia="仿宋_GB2312" w:cs="仿宋_GB2312"/>
          <w:kern w:val="2"/>
          <w:sz w:val="32"/>
          <w:szCs w:val="32"/>
          <w:lang w:val="en-US" w:eastAsia="zh-CN" w:bidi="ar-SA"/>
        </w:rPr>
      </w:pPr>
      <w:bookmarkStart w:id="54" w:name="_Toc19587"/>
      <w:bookmarkStart w:id="55" w:name="_Toc23744"/>
      <w:r>
        <w:rPr>
          <w:rFonts w:hint="eastAsia" w:ascii="Times New Roman" w:hAnsi="Times New Roman" w:eastAsia="仿宋_GB2312" w:cs="仿宋_GB2312"/>
          <w:kern w:val="2"/>
          <w:sz w:val="32"/>
          <w:szCs w:val="32"/>
          <w:lang w:val="en-US" w:eastAsia="zh-CN" w:bidi="ar-SA"/>
        </w:rPr>
        <w:t>资产管理</w:t>
      </w:r>
      <w:bookmarkEnd w:id="54"/>
      <w:bookmarkEnd w:id="55"/>
    </w:p>
    <w:p>
      <w:pPr>
        <w:pStyle w:val="2"/>
        <w:keepNext w:val="0"/>
        <w:keepLines w:val="0"/>
        <w:pageBreakBefore w:val="0"/>
        <w:numPr>
          <w:ilvl w:val="0"/>
          <w:numId w:val="17"/>
        </w:numPr>
        <w:kinsoku/>
        <w:wordWrap/>
        <w:overflowPunct/>
        <w:topLinePunct w:val="0"/>
        <w:autoSpaceDE/>
        <w:autoSpaceDN/>
        <w:bidi w:val="0"/>
        <w:spacing w:line="560" w:lineRule="exact"/>
        <w:ind w:left="630" w:leftChars="0"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资产配置合规性。该指标反映单位办公室面积和</w:t>
      </w:r>
    </w:p>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办公设备配置是否超过规定标准，分值2分。我总队严格按照《行政单位国有资产管理暂行办法》等相关制度规定配置办公设备，无超出规定情况。此项自评得分2分，得分率100%。</w:t>
      </w:r>
    </w:p>
    <w:p>
      <w:pPr>
        <w:pStyle w:val="2"/>
        <w:keepNext w:val="0"/>
        <w:keepLines w:val="0"/>
        <w:pageBreakBefore w:val="0"/>
        <w:numPr>
          <w:ilvl w:val="0"/>
          <w:numId w:val="17"/>
        </w:numPr>
        <w:kinsoku/>
        <w:wordWrap/>
        <w:overflowPunct/>
        <w:topLinePunct w:val="0"/>
        <w:autoSpaceDE/>
        <w:autoSpaceDN/>
        <w:bidi w:val="0"/>
        <w:spacing w:line="560" w:lineRule="exact"/>
        <w:ind w:left="630" w:leftChars="0"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资产收益上缴的及时性。该指标反映单位资产处</w:t>
      </w:r>
    </w:p>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置和使用收益上缴的及时性，分值1分。我总队2022年罚没收入约16,426.48万元，国有资源（资产）有偿使用收入29.28万元，非税收入共16,455.76万元，已全部及时上缴本级国库。此项自评得分1分，得分率100%。</w:t>
      </w:r>
    </w:p>
    <w:p>
      <w:pPr>
        <w:pStyle w:val="2"/>
        <w:keepNext w:val="0"/>
        <w:keepLines w:val="0"/>
        <w:pageBreakBefore w:val="0"/>
        <w:numPr>
          <w:ilvl w:val="0"/>
          <w:numId w:val="17"/>
        </w:numPr>
        <w:kinsoku/>
        <w:wordWrap/>
        <w:overflowPunct/>
        <w:topLinePunct w:val="0"/>
        <w:autoSpaceDE/>
        <w:autoSpaceDN/>
        <w:bidi w:val="0"/>
        <w:spacing w:line="560" w:lineRule="exact"/>
        <w:ind w:left="630" w:leftChars="0"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资产盘点情况。该指标反映单位是否每年按要求</w:t>
      </w:r>
    </w:p>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进行资产盘点，分值1分。我总队2022年按要求进行资产盘点一次，并形成资产分析报告，对达到符合报废条件的资产及时进行处置。此项自评得分1分，得分率100%。</w:t>
      </w:r>
    </w:p>
    <w:p>
      <w:pPr>
        <w:pStyle w:val="2"/>
        <w:keepNext w:val="0"/>
        <w:keepLines w:val="0"/>
        <w:pageBreakBefore w:val="0"/>
        <w:numPr>
          <w:ilvl w:val="0"/>
          <w:numId w:val="17"/>
        </w:numPr>
        <w:kinsoku/>
        <w:wordWrap/>
        <w:overflowPunct/>
        <w:topLinePunct w:val="0"/>
        <w:autoSpaceDE/>
        <w:autoSpaceDN/>
        <w:bidi w:val="0"/>
        <w:spacing w:line="560" w:lineRule="exact"/>
        <w:ind w:left="630" w:leftChars="0"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数据质量。该指标反映部门行政事业性国有资产</w:t>
      </w:r>
    </w:p>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年报数据质量，分值2分。经核实，我</w:t>
      </w:r>
      <w:r>
        <w:rPr>
          <w:rFonts w:hint="eastAsia" w:ascii="Times New Roman" w:hAnsi="Times New Roman" w:eastAsia="仿宋_GB2312" w:cs="仿宋_GB2312"/>
          <w:sz w:val="32"/>
          <w:szCs w:val="32"/>
          <w:highlight w:val="none"/>
          <w:lang w:val="en-US" w:eastAsia="zh-CN"/>
        </w:rPr>
        <w:t>总队的《2022年度行政事业性国有资产报表》数据完整、准确，且资</w:t>
      </w:r>
      <w:r>
        <w:rPr>
          <w:rFonts w:hint="eastAsia" w:ascii="Times New Roman" w:hAnsi="Times New Roman" w:eastAsia="仿宋_GB2312" w:cs="仿宋_GB2312"/>
          <w:sz w:val="32"/>
          <w:szCs w:val="32"/>
          <w:lang w:val="en-US" w:eastAsia="zh-CN"/>
        </w:rPr>
        <w:t>产账与财务账、资产实体相符。根据省财政厅考核评价结果，此项得分2分，得分率100%。</w:t>
      </w:r>
    </w:p>
    <w:p>
      <w:pPr>
        <w:pStyle w:val="2"/>
        <w:keepNext w:val="0"/>
        <w:keepLines w:val="0"/>
        <w:pageBreakBefore w:val="0"/>
        <w:numPr>
          <w:ilvl w:val="0"/>
          <w:numId w:val="17"/>
        </w:numPr>
        <w:kinsoku/>
        <w:wordWrap/>
        <w:overflowPunct/>
        <w:topLinePunct w:val="0"/>
        <w:autoSpaceDE/>
        <w:autoSpaceDN/>
        <w:bidi w:val="0"/>
        <w:spacing w:line="560" w:lineRule="exact"/>
        <w:ind w:left="630" w:leftChars="0"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资产管理合规性。该指标反映部门（单位）资产</w:t>
      </w:r>
    </w:p>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管理是否合规，分值1分。我总队沿</w:t>
      </w:r>
      <w:r>
        <w:rPr>
          <w:rFonts w:hint="eastAsia" w:ascii="Times New Roman" w:hAnsi="Times New Roman" w:eastAsia="仿宋_GB2312" w:cs="仿宋_GB2312"/>
          <w:sz w:val="32"/>
          <w:szCs w:val="32"/>
          <w:highlight w:val="none"/>
          <w:lang w:val="en-US" w:eastAsia="zh-CN"/>
        </w:rPr>
        <w:t>用《广东省渔政总队固定资产管理暂行办法》，严格执行《行政单位国有资产管理暂行办法》和《行政事业单位国有资产报</w:t>
      </w:r>
      <w:r>
        <w:rPr>
          <w:rFonts w:hint="eastAsia" w:ascii="Times New Roman" w:hAnsi="Times New Roman" w:eastAsia="仿宋_GB2312" w:cs="仿宋_GB2312"/>
          <w:sz w:val="32"/>
          <w:szCs w:val="32"/>
          <w:lang w:val="en-US" w:eastAsia="zh-CN"/>
        </w:rPr>
        <w:t>告制度》等有关规定。本年度资产保存完整，资产配置合理、使用合规、处置规范。此项自评得分1分，得分率100%。</w:t>
      </w:r>
    </w:p>
    <w:p>
      <w:pPr>
        <w:pStyle w:val="2"/>
        <w:keepNext w:val="0"/>
        <w:keepLines w:val="0"/>
        <w:pageBreakBefore w:val="0"/>
        <w:numPr>
          <w:ilvl w:val="0"/>
          <w:numId w:val="17"/>
        </w:numPr>
        <w:kinsoku/>
        <w:wordWrap/>
        <w:overflowPunct/>
        <w:topLinePunct w:val="0"/>
        <w:autoSpaceDE/>
        <w:autoSpaceDN/>
        <w:bidi w:val="0"/>
        <w:spacing w:line="560" w:lineRule="exact"/>
        <w:ind w:left="630" w:leftChars="0" w:firstLine="0" w:firstLineChars="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固定资产利用率。该指标反映部门（单位）固定</w:t>
      </w:r>
    </w:p>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highlight w:val="yellow"/>
          <w:lang w:val="en-US" w:eastAsia="zh-CN"/>
        </w:rPr>
      </w:pPr>
      <w:r>
        <w:rPr>
          <w:rFonts w:hint="eastAsia" w:ascii="Times New Roman" w:hAnsi="Times New Roman" w:eastAsia="仿宋_GB2312" w:cs="仿宋_GB2312"/>
          <w:sz w:val="32"/>
          <w:szCs w:val="32"/>
          <w:lang w:val="en-US" w:eastAsia="zh-CN"/>
        </w:rPr>
        <w:t>资产的使用情况，分值2分。我总队本级及下属各行政事业单位固定资产原值总额为60,479.95万元，实际在用固定资产金额为60,479.95万元，固定资产利用率达100%。根据省财政厅考核评价结果，</w:t>
      </w:r>
      <w:r>
        <w:rPr>
          <w:rFonts w:hint="eastAsia" w:ascii="Times New Roman" w:hAnsi="Times New Roman" w:eastAsia="仿宋_GB2312" w:cs="仿宋_GB2312"/>
          <w:sz w:val="32"/>
          <w:szCs w:val="32"/>
          <w:highlight w:val="none"/>
          <w:lang w:val="en-US" w:eastAsia="zh-CN"/>
        </w:rPr>
        <w:t>此项得分2分，得分率100%。</w:t>
      </w:r>
    </w:p>
    <w:p>
      <w:pPr>
        <w:pStyle w:val="2"/>
        <w:keepNext w:val="0"/>
        <w:keepLines w:val="0"/>
        <w:pageBreakBefore w:val="0"/>
        <w:numPr>
          <w:ilvl w:val="0"/>
          <w:numId w:val="12"/>
        </w:numPr>
        <w:kinsoku/>
        <w:wordWrap/>
        <w:overflowPunct/>
        <w:topLinePunct w:val="0"/>
        <w:autoSpaceDE/>
        <w:autoSpaceDN/>
        <w:bidi w:val="0"/>
        <w:spacing w:line="560" w:lineRule="exact"/>
        <w:ind w:left="0" w:leftChars="0" w:firstLine="640" w:firstLineChars="200"/>
        <w:textAlignment w:val="auto"/>
        <w:outlineLvl w:val="2"/>
        <w:rPr>
          <w:rFonts w:hint="eastAsia" w:ascii="Times New Roman" w:hAnsi="Times New Roman" w:eastAsia="仿宋_GB2312" w:cs="仿宋_GB2312"/>
          <w:kern w:val="2"/>
          <w:sz w:val="32"/>
          <w:szCs w:val="32"/>
          <w:lang w:val="en-US" w:eastAsia="zh-CN" w:bidi="ar-SA"/>
        </w:rPr>
      </w:pPr>
      <w:bookmarkStart w:id="56" w:name="_Toc13535"/>
      <w:bookmarkStart w:id="57" w:name="_Toc5052"/>
      <w:r>
        <w:rPr>
          <w:rFonts w:hint="eastAsia" w:ascii="Times New Roman" w:hAnsi="Times New Roman" w:eastAsia="仿宋_GB2312" w:cs="仿宋_GB2312"/>
          <w:kern w:val="2"/>
          <w:sz w:val="32"/>
          <w:szCs w:val="32"/>
          <w:lang w:val="en-US" w:eastAsia="zh-CN" w:bidi="ar-SA"/>
        </w:rPr>
        <w:t>运行成本</w:t>
      </w:r>
      <w:bookmarkEnd w:id="56"/>
      <w:bookmarkEnd w:id="57"/>
    </w:p>
    <w:p>
      <w:pPr>
        <w:pStyle w:val="2"/>
        <w:keepNext w:val="0"/>
        <w:keepLines w:val="0"/>
        <w:pageBreakBefore w:val="0"/>
        <w:numPr>
          <w:ilvl w:val="0"/>
          <w:numId w:val="18"/>
        </w:numPr>
        <w:kinsoku/>
        <w:wordWrap/>
        <w:overflowPunct/>
        <w:topLinePunct w:val="0"/>
        <w:autoSpaceDE/>
        <w:autoSpaceDN/>
        <w:bidi w:val="0"/>
        <w:spacing w:line="560" w:lineRule="exact"/>
        <w:ind w:left="630" w:firstLine="0" w:firstLineChars="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kern w:val="2"/>
          <w:sz w:val="32"/>
          <w:szCs w:val="32"/>
          <w:lang w:val="en-US" w:eastAsia="zh-CN" w:bidi="ar-SA"/>
        </w:rPr>
        <w:t>经济成本控制情况。该指标反映部门经济支出分</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类核算情况，包括对运转成本的控制努力程度和效果、核算精准度和合理性等，分值2分。根据省财政厅财政报表系统中《部门经济成本分析自评表》，2022年我总队部门经济成本控制情况如下：</w:t>
      </w:r>
    </w:p>
    <w:p>
      <w:pPr>
        <w:keepNext w:val="0"/>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能耗支出0元/平方米，在省直单位中排名为前20；</w:t>
      </w:r>
    </w:p>
    <w:p>
      <w:pPr>
        <w:keepNext w:val="0"/>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物业管理0元/平方米，在省直单位中排名为前20；</w:t>
      </w:r>
    </w:p>
    <w:p>
      <w:pPr>
        <w:keepNext w:val="0"/>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行政支出1.10万元/人，在省直单位中排名为中间；</w:t>
      </w:r>
    </w:p>
    <w:p>
      <w:pPr>
        <w:keepNext w:val="0"/>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业务活动支出1.27万元/人，在省直单位中排名为后20；</w:t>
      </w:r>
    </w:p>
    <w:p>
      <w:pPr>
        <w:keepNext w:val="0"/>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外勤支出2.41万元/人，在省直单位中排名为后20；</w:t>
      </w:r>
    </w:p>
    <w:p>
      <w:pPr>
        <w:keepNext w:val="0"/>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公用经费支出13.67 万元/人，在省直单位中排名为后20；</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仿宋_GB2312" w:cs="仿宋_GB2312"/>
          <w:kern w:val="2"/>
          <w:sz w:val="32"/>
          <w:szCs w:val="32"/>
          <w:lang w:val="en-US" w:eastAsia="zh-CN" w:bidi="ar-SA"/>
        </w:rPr>
      </w:pPr>
      <w:r>
        <w:rPr>
          <w:rFonts w:hint="eastAsia" w:ascii="Times New Roman" w:hAnsi="Times New Roman" w:eastAsia="仿宋_GB2312" w:cs="仿宋_GB2312"/>
          <w:kern w:val="2"/>
          <w:sz w:val="32"/>
          <w:szCs w:val="32"/>
          <w:lang w:val="en-US" w:eastAsia="zh-CN" w:bidi="ar-SA"/>
        </w:rPr>
        <w:t>在上述科目中，我总队得分较低的支出是人均业务活动支出、人均外勤支出和人均公用经费支出等3项内容。这主要是由我总队职能和工作性质所决定：我总队负责</w:t>
      </w:r>
      <w:r>
        <w:rPr>
          <w:rFonts w:hint="eastAsia" w:ascii="Times New Roman" w:hAnsi="Times New Roman" w:eastAsia="仿宋_GB2312" w:cs="仿宋_GB2312"/>
          <w:b w:val="0"/>
          <w:bCs w:val="0"/>
          <w:sz w:val="32"/>
          <w:szCs w:val="32"/>
          <w:lang w:val="en-US" w:eastAsia="zh-CN"/>
        </w:rPr>
        <w:t>指导监督、组织实施全省海洋综合执法工作，其中涉及大量巡航监视、执法检查、海上救援等工作内容，这些工作的开展需要依托海量的业务活动，包括不限于会议、通讯联系等内勤，差旅和人员调度等外勤方面。因此，我总队人均业务活动支出、外勤支出、公用经费支出维持在较高水平。</w:t>
      </w:r>
    </w:p>
    <w:p>
      <w:pPr>
        <w:keepNext w:val="0"/>
        <w:keepLines w:val="0"/>
        <w:pageBreakBefore w:val="0"/>
        <w:kinsoku/>
        <w:wordWrap/>
        <w:overflowPunct/>
        <w:topLinePunct w:val="0"/>
        <w:autoSpaceDE/>
        <w:autoSpaceDN/>
        <w:bidi w:val="0"/>
        <w:adjustRightInd w:val="0"/>
        <w:snapToGrid w:val="0"/>
        <w:spacing w:line="560" w:lineRule="exact"/>
        <w:ind w:firstLine="640" w:firstLineChars="200"/>
        <w:contextualSpacing/>
        <w:jc w:val="both"/>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lang w:val="en-US" w:eastAsia="zh-CN" w:bidi="ar-SA"/>
        </w:rPr>
        <w:t>我总队按照《部门经济成本分析自评表》、《部门经济成本分析评价指标表》、《部门经济成本分析指标对比标准表》进行计算，</w:t>
      </w:r>
      <w:r>
        <w:rPr>
          <w:rFonts w:hint="eastAsia" w:ascii="Times New Roman" w:hAnsi="Times New Roman" w:eastAsia="仿宋_GB2312" w:cs="仿宋_GB2312"/>
          <w:sz w:val="32"/>
          <w:szCs w:val="32"/>
          <w:lang w:val="en-US" w:eastAsia="zh-CN"/>
        </w:rPr>
        <w:t>根据省财政厅考核评价结果，</w:t>
      </w:r>
      <w:r>
        <w:rPr>
          <w:rFonts w:hint="eastAsia" w:ascii="Times New Roman" w:hAnsi="Times New Roman" w:eastAsia="仿宋_GB2312" w:cs="仿宋_GB2312"/>
          <w:kern w:val="2"/>
          <w:sz w:val="32"/>
          <w:szCs w:val="32"/>
          <w:highlight w:val="none"/>
          <w:lang w:val="en-US" w:eastAsia="zh-CN" w:bidi="ar-SA"/>
        </w:rPr>
        <w:t>此项自评得分1.3分，得分率65.00%。</w:t>
      </w:r>
    </w:p>
    <w:p>
      <w:pPr>
        <w:keepNext w:val="0"/>
        <w:keepLines w:val="0"/>
        <w:pageBreakBefore w:val="0"/>
        <w:widowControl/>
        <w:numPr>
          <w:ilvl w:val="0"/>
          <w:numId w:val="18"/>
        </w:numPr>
        <w:kinsoku/>
        <w:wordWrap/>
        <w:overflowPunct/>
        <w:topLinePunct w:val="0"/>
        <w:autoSpaceDE/>
        <w:autoSpaceDN/>
        <w:bidi w:val="0"/>
        <w:adjustRightInd/>
        <w:snapToGrid w:val="0"/>
        <w:spacing w:line="560" w:lineRule="exact"/>
        <w:ind w:left="630" w:firstLine="0" w:firstLineChars="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三公”经费控制情况</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该指标反映部门（单位）</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对“三公”经费的控制效果，分</w:t>
      </w:r>
      <w:r>
        <w:rPr>
          <w:rFonts w:hint="eastAsia" w:ascii="Times New Roman" w:hAnsi="Times New Roman" w:eastAsia="仿宋_GB2312" w:cs="仿宋_GB2312"/>
          <w:sz w:val="32"/>
          <w:szCs w:val="32"/>
          <w:highlight w:val="none"/>
          <w:lang w:val="en-US" w:eastAsia="zh-CN"/>
        </w:rPr>
        <w:t>值1分。我总队及各下属预算单位认真贯彻落实中央“八项规定”精神和厉行节约的要求，从严控制“三公”经费开支，严格管理公务用车使用和运行维护开支。</w:t>
      </w:r>
      <w:r>
        <w:rPr>
          <w:rFonts w:hint="eastAsia" w:ascii="Times New Roman" w:hAnsi="Times New Roman" w:eastAsia="仿宋_GB2312" w:cs="仿宋_GB2312"/>
          <w:sz w:val="32"/>
          <w:szCs w:val="32"/>
          <w:highlight w:val="none"/>
        </w:rPr>
        <w:t>根据省财政厅考核评价结果，此项得分</w:t>
      </w:r>
      <w:r>
        <w:rPr>
          <w:rFonts w:hint="eastAsia" w:ascii="Times New Roman" w:hAnsi="Times New Roman" w:eastAsia="仿宋_GB2312" w:cs="仿宋_GB2312"/>
          <w:sz w:val="32"/>
          <w:szCs w:val="32"/>
          <w:highlight w:val="none"/>
          <w:lang w:val="en-US" w:eastAsia="zh-CN"/>
        </w:rPr>
        <w:t>1</w:t>
      </w:r>
      <w:r>
        <w:rPr>
          <w:rFonts w:hint="eastAsia" w:ascii="Times New Roman" w:hAnsi="Times New Roman" w:eastAsia="仿宋_GB2312" w:cs="仿宋_GB2312"/>
          <w:sz w:val="32"/>
          <w:szCs w:val="32"/>
          <w:highlight w:val="none"/>
        </w:rPr>
        <w:t>分，得分率</w:t>
      </w:r>
      <w:r>
        <w:rPr>
          <w:rFonts w:hint="eastAsia" w:ascii="Times New Roman" w:hAnsi="Times New Roman" w:eastAsia="仿宋_GB2312" w:cs="仿宋_GB2312"/>
          <w:sz w:val="32"/>
          <w:szCs w:val="32"/>
          <w:highlight w:val="none"/>
          <w:lang w:val="en-US" w:eastAsia="zh-CN"/>
        </w:rPr>
        <w:t>100%</w:t>
      </w:r>
      <w:r>
        <w:rPr>
          <w:rFonts w:hint="eastAsia" w:ascii="Times New Roman" w:hAnsi="Times New Roman" w:eastAsia="仿宋_GB2312" w:cs="仿宋_GB2312"/>
          <w:sz w:val="32"/>
          <w:szCs w:val="32"/>
          <w:highlight w:val="none"/>
          <w:lang w:eastAsia="zh-CN"/>
        </w:rPr>
        <w:t>。</w:t>
      </w:r>
    </w:p>
    <w:p>
      <w:pPr>
        <w:keepNext w:val="0"/>
        <w:keepLines w:val="0"/>
        <w:pageBreakBefore w:val="0"/>
        <w:numPr>
          <w:ilvl w:val="0"/>
          <w:numId w:val="0"/>
        </w:numPr>
        <w:kinsoku/>
        <w:wordWrap/>
        <w:overflowPunct/>
        <w:topLinePunct w:val="0"/>
        <w:autoSpaceDE/>
        <w:autoSpaceDN/>
        <w:bidi w:val="0"/>
        <w:snapToGrid w:val="0"/>
        <w:spacing w:line="560" w:lineRule="exact"/>
        <w:ind w:leftChars="200" w:firstLine="321" w:firstLineChars="100"/>
        <w:textAlignment w:val="auto"/>
        <w:outlineLvl w:val="1"/>
        <w:rPr>
          <w:rFonts w:hint="eastAsia" w:ascii="Times New Roman" w:hAnsi="Times New Roman" w:eastAsia="CESI楷体-GB2312" w:cs="CESI楷体-GB2312"/>
          <w:b/>
          <w:bCs/>
          <w:sz w:val="32"/>
          <w:szCs w:val="32"/>
          <w:lang w:eastAsia="zh-CN"/>
        </w:rPr>
      </w:pPr>
      <w:bookmarkStart w:id="58" w:name="_Toc22033"/>
      <w:bookmarkStart w:id="59" w:name="_Toc31234"/>
      <w:r>
        <w:rPr>
          <w:rFonts w:hint="eastAsia" w:ascii="Times New Roman" w:hAnsi="Times New Roman" w:eastAsia="CESI楷体-GB2312" w:cs="CESI楷体-GB2312"/>
          <w:b/>
          <w:bCs/>
          <w:sz w:val="32"/>
          <w:szCs w:val="32"/>
          <w:lang w:val="en-US" w:eastAsia="zh-CN"/>
        </w:rPr>
        <w:t>（四）就</w:t>
      </w:r>
      <w:r>
        <w:rPr>
          <w:rFonts w:hint="eastAsia" w:ascii="Times New Roman" w:hAnsi="Times New Roman" w:eastAsia="CESI楷体-GB2312" w:cs="CESI楷体-GB2312"/>
          <w:b/>
          <w:bCs/>
          <w:sz w:val="32"/>
          <w:szCs w:val="32"/>
        </w:rPr>
        <w:t>部门整体支出</w:t>
      </w:r>
      <w:r>
        <w:rPr>
          <w:rFonts w:hint="eastAsia" w:ascii="Times New Roman" w:hAnsi="Times New Roman" w:eastAsia="CESI楷体-GB2312" w:cs="CESI楷体-GB2312"/>
          <w:b/>
          <w:bCs/>
          <w:sz w:val="32"/>
          <w:szCs w:val="32"/>
          <w:lang w:eastAsia="zh-CN"/>
        </w:rPr>
        <w:t>绩效管理</w:t>
      </w:r>
      <w:r>
        <w:rPr>
          <w:rFonts w:hint="eastAsia" w:ascii="Times New Roman" w:hAnsi="Times New Roman" w:eastAsia="CESI楷体-GB2312" w:cs="CESI楷体-GB2312"/>
          <w:b/>
          <w:bCs/>
          <w:sz w:val="32"/>
          <w:szCs w:val="32"/>
        </w:rPr>
        <w:t>存在问题</w:t>
      </w:r>
      <w:r>
        <w:rPr>
          <w:rFonts w:hint="eastAsia" w:ascii="Times New Roman" w:hAnsi="Times New Roman" w:eastAsia="CESI楷体-GB2312" w:cs="CESI楷体-GB2312"/>
          <w:b/>
          <w:bCs/>
          <w:sz w:val="32"/>
          <w:szCs w:val="32"/>
          <w:lang w:eastAsia="zh-CN"/>
        </w:rPr>
        <w:t>提出</w:t>
      </w:r>
      <w:r>
        <w:rPr>
          <w:rFonts w:hint="eastAsia" w:ascii="Times New Roman" w:hAnsi="Times New Roman" w:eastAsia="CESI楷体-GB2312" w:cs="CESI楷体-GB2312"/>
          <w:b/>
          <w:bCs/>
          <w:sz w:val="32"/>
          <w:szCs w:val="32"/>
        </w:rPr>
        <w:t>改进</w:t>
      </w:r>
      <w:r>
        <w:rPr>
          <w:rFonts w:hint="eastAsia" w:ascii="Times New Roman" w:hAnsi="Times New Roman" w:eastAsia="CESI楷体-GB2312" w:cs="CESI楷体-GB2312"/>
          <w:b/>
          <w:bCs/>
          <w:sz w:val="32"/>
          <w:szCs w:val="32"/>
          <w:lang w:eastAsia="zh-CN"/>
        </w:rPr>
        <w:t>措施</w:t>
      </w:r>
      <w:bookmarkEnd w:id="58"/>
      <w:bookmarkEnd w:id="59"/>
    </w:p>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 xml:space="preserve">    1、</w:t>
      </w:r>
      <w:r>
        <w:rPr>
          <w:rFonts w:hint="eastAsia" w:ascii="Times New Roman" w:hAnsi="Times New Roman" w:eastAsia="仿宋_GB2312" w:cs="仿宋_GB2312"/>
          <w:sz w:val="32"/>
          <w:szCs w:val="32"/>
          <w:lang w:val="en-US" w:eastAsia="zh-CN"/>
        </w:rPr>
        <w:t>增强部门预算编制精细化管理，提高预算编制的科学性、合理性。2022年度我总队存在年中追加预算金额较大的情况，预算编制能力有待进一步提高。从2023年起，我总队将严格落实党中央、国务院关于深化预算管理制度改革的一系列部署要求，围绕省委省政府重大决策和我总队主责主业编细编实年度预算，明确资金支出结构、使用方向和预期产生成果效益，有效减少预算调剂和年中追加预算情况，提高部门整体支出预算编制的科学性、客观性、合理性。</w:t>
      </w:r>
    </w:p>
    <w:p>
      <w:pPr>
        <w:pStyle w:val="2"/>
        <w:keepNext w:val="0"/>
        <w:keepLines w:val="0"/>
        <w:pageBreakBefore w:val="0"/>
        <w:numPr>
          <w:ilvl w:val="0"/>
          <w:numId w:val="0"/>
        </w:numPr>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cs="仿宋_GB2312"/>
          <w:sz w:val="32"/>
          <w:szCs w:val="32"/>
          <w:lang w:val="en-US" w:eastAsia="zh-CN"/>
        </w:rPr>
        <w:t>2、</w:t>
      </w:r>
      <w:r>
        <w:rPr>
          <w:rFonts w:hint="eastAsia" w:ascii="Times New Roman" w:hAnsi="Times New Roman" w:eastAsia="仿宋_GB2312" w:cs="仿宋_GB2312"/>
          <w:sz w:val="32"/>
          <w:szCs w:val="32"/>
          <w:lang w:val="en-US" w:eastAsia="zh-CN"/>
        </w:rPr>
        <w:t>强化采购监督管理，严格按照部门采购制度落实工作，保障各项采购流程合理合规、按时完成。我总队在采购管理方面，将进一步优化采购意向公开合规性。从2023年起，我总队将持续强化政府采购管理工作，加强和完善部门政府采购制度，认真做好采购预算管理编制、采购文件编制、信息公告、采购评审和产品验收等具体工作，严格落实采购意向的公开情况，以及合同签订之日起2个工作日内在“广东省政府采购网”备案公开等事项， 进一步提升政府采购效率和质量。</w:t>
      </w:r>
    </w:p>
    <w:p>
      <w:pPr>
        <w:keepNext w:val="0"/>
        <w:keepLines w:val="0"/>
        <w:pageBreakBefore w:val="0"/>
        <w:numPr>
          <w:ilvl w:val="0"/>
          <w:numId w:val="19"/>
        </w:numPr>
        <w:kinsoku/>
        <w:wordWrap/>
        <w:overflowPunct/>
        <w:topLinePunct w:val="0"/>
        <w:autoSpaceDE/>
        <w:autoSpaceDN/>
        <w:bidi w:val="0"/>
        <w:snapToGrid w:val="0"/>
        <w:spacing w:line="560" w:lineRule="exact"/>
        <w:ind w:firstLine="640" w:firstLineChars="200"/>
        <w:textAlignment w:val="auto"/>
        <w:outlineLvl w:val="0"/>
        <w:rPr>
          <w:rFonts w:hint="eastAsia" w:ascii="Times New Roman" w:hAnsi="Times New Roman" w:eastAsia="黑体" w:cs="黑体"/>
          <w:bCs/>
          <w:sz w:val="32"/>
          <w:szCs w:val="32"/>
        </w:rPr>
      </w:pPr>
      <w:bookmarkStart w:id="60" w:name="_Toc14938"/>
      <w:bookmarkStart w:id="61" w:name="_Toc16177"/>
      <w:r>
        <w:rPr>
          <w:rFonts w:hint="eastAsia" w:ascii="Times New Roman" w:hAnsi="Times New Roman" w:eastAsia="黑体" w:cs="黑体"/>
          <w:bCs/>
          <w:sz w:val="32"/>
          <w:szCs w:val="32"/>
          <w:lang w:eastAsia="zh-CN"/>
        </w:rPr>
        <w:t>其他</w:t>
      </w:r>
      <w:r>
        <w:rPr>
          <w:rFonts w:hint="eastAsia" w:ascii="Times New Roman" w:hAnsi="Times New Roman" w:eastAsia="黑体" w:cs="黑体"/>
          <w:bCs/>
          <w:sz w:val="32"/>
          <w:szCs w:val="32"/>
        </w:rPr>
        <w:t>自评情况</w:t>
      </w:r>
      <w:bookmarkEnd w:id="60"/>
      <w:bookmarkEnd w:id="61"/>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无</w:t>
      </w:r>
    </w:p>
    <w:p>
      <w:pPr>
        <w:keepNext w:val="0"/>
        <w:keepLines w:val="0"/>
        <w:pageBreakBefore w:val="0"/>
        <w:numPr>
          <w:ilvl w:val="0"/>
          <w:numId w:val="19"/>
        </w:numPr>
        <w:kinsoku/>
        <w:wordWrap/>
        <w:overflowPunct/>
        <w:topLinePunct w:val="0"/>
        <w:autoSpaceDE/>
        <w:autoSpaceDN/>
        <w:bidi w:val="0"/>
        <w:snapToGrid w:val="0"/>
        <w:spacing w:line="560" w:lineRule="exact"/>
        <w:ind w:firstLine="640" w:firstLineChars="200"/>
        <w:textAlignment w:val="auto"/>
        <w:outlineLvl w:val="0"/>
        <w:rPr>
          <w:rFonts w:hint="eastAsia" w:ascii="Times New Roman" w:hAnsi="Times New Roman" w:eastAsia="黑体" w:cs="黑体"/>
          <w:bCs/>
          <w:sz w:val="32"/>
          <w:szCs w:val="32"/>
        </w:rPr>
      </w:pPr>
      <w:bookmarkStart w:id="62" w:name="_Toc31380"/>
      <w:bookmarkStart w:id="63" w:name="_Toc29139"/>
      <w:r>
        <w:rPr>
          <w:rFonts w:hint="eastAsia" w:ascii="Times New Roman" w:hAnsi="Times New Roman" w:eastAsia="黑体" w:cs="黑体"/>
          <w:bCs/>
          <w:sz w:val="32"/>
          <w:szCs w:val="32"/>
          <w:lang w:val="en-US" w:eastAsia="zh-CN"/>
        </w:rPr>
        <w:t>上年度绩效自评整改情况</w:t>
      </w:r>
      <w:bookmarkEnd w:id="62"/>
      <w:bookmarkEnd w:id="63"/>
    </w:p>
    <w:p>
      <w:pPr>
        <w:pStyle w:val="2"/>
        <w:keepNext w:val="0"/>
        <w:keepLines w:val="0"/>
        <w:pageBreakBefore w:val="0"/>
        <w:widowControl w:val="0"/>
        <w:numPr>
          <w:ilvl w:val="0"/>
          <w:numId w:val="0"/>
        </w:numPr>
        <w:tabs>
          <w:tab w:val="left" w:pos="787"/>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2"/>
          <w:sz w:val="32"/>
          <w:szCs w:val="32"/>
          <w:highlight w:val="none"/>
          <w:lang w:val="en-US" w:eastAsia="zh-CN" w:bidi="ar-SA"/>
        </w:rPr>
      </w:pPr>
      <w:r>
        <w:rPr>
          <w:rFonts w:hint="eastAsia" w:ascii="Times New Roman" w:hAnsi="Times New Roman" w:eastAsia="仿宋_GB2312" w:cs="仿宋_GB2312"/>
          <w:kern w:val="2"/>
          <w:sz w:val="32"/>
          <w:szCs w:val="32"/>
          <w:highlight w:val="none"/>
          <w:lang w:val="en-US" w:eastAsia="zh-CN" w:bidi="ar-SA"/>
        </w:rPr>
        <w:t>我总队2021年部门整体支出绩效自评整改情况主要包含以下两个方面：</w:t>
      </w:r>
    </w:p>
    <w:p>
      <w:pPr>
        <w:pStyle w:val="2"/>
        <w:keepNext w:val="0"/>
        <w:keepLines w:val="0"/>
        <w:pageBreakBefore w:val="0"/>
        <w:widowControl w:val="0"/>
        <w:numPr>
          <w:ilvl w:val="0"/>
          <w:numId w:val="0"/>
        </w:numPr>
        <w:tabs>
          <w:tab w:val="left" w:pos="787"/>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kern w:val="2"/>
          <w:sz w:val="32"/>
          <w:szCs w:val="32"/>
          <w:highlight w:val="none"/>
          <w:lang w:val="en-US" w:eastAsia="zh-CN" w:bidi="ar-SA"/>
        </w:rPr>
        <w:t>一是上年度</w:t>
      </w:r>
      <w:r>
        <w:rPr>
          <w:rFonts w:hint="eastAsia" w:ascii="Times New Roman" w:hAnsi="Times New Roman" w:eastAsia="仿宋_GB2312" w:cs="仿宋_GB2312"/>
          <w:sz w:val="32"/>
          <w:szCs w:val="32"/>
          <w:lang w:val="en-US" w:eastAsia="zh-CN"/>
        </w:rPr>
        <w:t>我总队存在部门整体支出绩效目标不够简洁，部分绩效指标设置不够清晰、不够细化，导致绩效指标难以量化，使得绩效考核缺乏明确、细化的指标依据的情况。2022年，我总队全面提升了部门整体支出绩效目标和绩效指标的质量，绩效目标设置清晰合理，有效反映部门年度重点工作任务以及资金使用预期成效；绩效指标设置科学规范，且量化考核指标大于80%，增强了绩效管理和考核的约束性，有效提高了财政资源配置效率和使用效益。其次，2022年我总队根据省财政厅要求开展并完成了部门整体支出核心绩效指标体系建设工作，今后，我总队将把核心绩效指标建设成果全面应用于部门整体支出及项目支出的绩效目标编报中，进一步提升绩效目标质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二是上年度我总队在以制度形式全面推进绩效管理方面还有所欠缺，未制定独立的部门绩效管理制度。2022年，我总队严格按照中央、省委省政府加强预算绩效管理意见的各项要求，制定了《广东省海洋综合执法总队预算绩效管理制度》，</w:t>
      </w:r>
      <w:r>
        <w:rPr>
          <w:rFonts w:hint="eastAsia" w:ascii="Times New Roman" w:hAnsi="Times New Roman" w:eastAsia="仿宋_GB2312" w:cs="仿宋_GB2312"/>
          <w:kern w:val="2"/>
          <w:sz w:val="32"/>
          <w:szCs w:val="32"/>
          <w:lang w:val="en-US" w:eastAsia="zh-CN" w:bidi="ar-SA"/>
        </w:rPr>
        <w:t>明确了我总队各处室、下属预算单位的绩效职责分工，内容包含绩效目标管理、绩效运行监控、绩效评价管理和评价结果应用，为</w:t>
      </w:r>
      <w:r>
        <w:rPr>
          <w:rFonts w:hint="eastAsia" w:ascii="Times New Roman" w:hAnsi="Times New Roman" w:eastAsia="仿宋_GB2312" w:cs="仿宋_GB2312"/>
          <w:sz w:val="32"/>
          <w:szCs w:val="32"/>
          <w:lang w:val="en-US" w:eastAsia="zh-CN"/>
        </w:rPr>
        <w:t>财政资金在本部门的预算编制、执行、使用效益的质量提供了制度保障，有助于切实提高财政资金使用的效率效益。</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三是上年度我总队存在采购合同签订时效性不足的情况。2022年，我总队重点关注采购合同签订的及时性，严格执行各项采购管理办法中对采购合同签订时效的要求，</w:t>
      </w:r>
      <w:r>
        <w:rPr>
          <w:rFonts w:hint="eastAsia" w:ascii="Times New Roman" w:hAnsi="Times New Roman" w:eastAsia="仿宋_GB2312" w:cs="仿宋_GB2312"/>
          <w:lang w:val="en-US" w:eastAsia="zh-CN"/>
        </w:rPr>
        <w:t>与所有中标、成交供应商在中标、成交通知书发出之日起三十日内，按照采购文件确定的事项签订政府采购合同，有效提高了部门采购工作的规范性，保障财政资金使用合理合规。</w:t>
      </w:r>
    </w:p>
    <w:p>
      <w:pPr>
        <w:pStyle w:val="2"/>
        <w:keepNext w:val="0"/>
        <w:keepLines w:val="0"/>
        <w:pageBreakBefore w:val="0"/>
        <w:widowControl w:val="0"/>
        <w:numPr>
          <w:ilvl w:val="0"/>
          <w:numId w:val="0"/>
        </w:numPr>
        <w:tabs>
          <w:tab w:val="left" w:pos="787"/>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4" w:type="default"/>
      <w:pgSz w:w="11906" w:h="16838"/>
      <w:pgMar w:top="1871" w:right="1531" w:bottom="1871" w:left="1531"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00000000000000000"/>
    <w:charset w:val="86"/>
    <w:family w:val="auto"/>
    <w:pitch w:val="default"/>
    <w:sig w:usb0="00000000" w:usb1="00000000" w:usb2="00000012"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Liberation Serif">
    <w:altName w:val="Traditional Arabic"/>
    <w:panose1 w:val="02020603050405020304"/>
    <w:charset w:val="00"/>
    <w:family w:val="auto"/>
    <w:pitch w:val="default"/>
    <w:sig w:usb0="00000000" w:usb1="00000000" w:usb2="00000000" w:usb3="00000000" w:csb0="6000009F" w:csb1="DFD7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ESI楷体-GB2312">
    <w:altName w:val="宋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A6FE5A"/>
    <w:multiLevelType w:val="singleLevel"/>
    <w:tmpl w:val="B0A6FE5A"/>
    <w:lvl w:ilvl="0" w:tentative="0">
      <w:start w:val="1"/>
      <w:numFmt w:val="decimal"/>
      <w:suff w:val="space"/>
      <w:lvlText w:val="（%1）"/>
      <w:lvlJc w:val="left"/>
    </w:lvl>
  </w:abstractNum>
  <w:abstractNum w:abstractNumId="1">
    <w:nsid w:val="B21DFB6D"/>
    <w:multiLevelType w:val="singleLevel"/>
    <w:tmpl w:val="B21DFB6D"/>
    <w:lvl w:ilvl="0" w:tentative="0">
      <w:start w:val="1"/>
      <w:numFmt w:val="decimal"/>
      <w:suff w:val="space"/>
      <w:lvlText w:val="（%1）"/>
      <w:lvlJc w:val="left"/>
      <w:pPr>
        <w:ind w:left="630"/>
      </w:pPr>
    </w:lvl>
  </w:abstractNum>
  <w:abstractNum w:abstractNumId="2">
    <w:nsid w:val="B6BA8201"/>
    <w:multiLevelType w:val="singleLevel"/>
    <w:tmpl w:val="B6BA8201"/>
    <w:lvl w:ilvl="0" w:tentative="0">
      <w:start w:val="1"/>
      <w:numFmt w:val="decimal"/>
      <w:suff w:val="space"/>
      <w:lvlText w:val="（%1）"/>
      <w:lvlJc w:val="left"/>
    </w:lvl>
  </w:abstractNum>
  <w:abstractNum w:abstractNumId="3">
    <w:nsid w:val="BF2D5622"/>
    <w:multiLevelType w:val="singleLevel"/>
    <w:tmpl w:val="BF2D5622"/>
    <w:lvl w:ilvl="0" w:tentative="0">
      <w:start w:val="3"/>
      <w:numFmt w:val="chineseCounting"/>
      <w:suff w:val="nothing"/>
      <w:lvlText w:val="%1、"/>
      <w:lvlJc w:val="left"/>
      <w:rPr>
        <w:rFonts w:hint="eastAsia"/>
      </w:rPr>
    </w:lvl>
  </w:abstractNum>
  <w:abstractNum w:abstractNumId="4">
    <w:nsid w:val="C5B9474D"/>
    <w:multiLevelType w:val="singleLevel"/>
    <w:tmpl w:val="C5B9474D"/>
    <w:lvl w:ilvl="0" w:tentative="0">
      <w:start w:val="1"/>
      <w:numFmt w:val="decimal"/>
      <w:suff w:val="space"/>
      <w:lvlText w:val="%1."/>
      <w:lvlJc w:val="left"/>
      <w:pPr>
        <w:ind w:left="0"/>
      </w:pPr>
    </w:lvl>
  </w:abstractNum>
  <w:abstractNum w:abstractNumId="5">
    <w:nsid w:val="E24E3C60"/>
    <w:multiLevelType w:val="singleLevel"/>
    <w:tmpl w:val="E24E3C60"/>
    <w:lvl w:ilvl="0" w:tentative="0">
      <w:start w:val="1"/>
      <w:numFmt w:val="decimal"/>
      <w:suff w:val="space"/>
      <w:lvlText w:val="（%1）"/>
      <w:lvlJc w:val="left"/>
    </w:lvl>
  </w:abstractNum>
  <w:abstractNum w:abstractNumId="6">
    <w:nsid w:val="E48A0954"/>
    <w:multiLevelType w:val="singleLevel"/>
    <w:tmpl w:val="E48A0954"/>
    <w:lvl w:ilvl="0" w:tentative="0">
      <w:start w:val="1"/>
      <w:numFmt w:val="decimal"/>
      <w:suff w:val="space"/>
      <w:lvlText w:val="（%1）"/>
      <w:lvlJc w:val="left"/>
      <w:rPr>
        <w:rFonts w:hint="default"/>
        <w:highlight w:val="none"/>
      </w:rPr>
    </w:lvl>
  </w:abstractNum>
  <w:abstractNum w:abstractNumId="7">
    <w:nsid w:val="E75F320F"/>
    <w:multiLevelType w:val="singleLevel"/>
    <w:tmpl w:val="E75F320F"/>
    <w:lvl w:ilvl="0" w:tentative="0">
      <w:start w:val="2"/>
      <w:numFmt w:val="decimal"/>
      <w:suff w:val="space"/>
      <w:lvlText w:val="%1."/>
      <w:lvlJc w:val="left"/>
      <w:pPr>
        <w:ind w:left="642" w:leftChars="0" w:firstLine="0" w:firstLineChars="0"/>
      </w:pPr>
    </w:lvl>
  </w:abstractNum>
  <w:abstractNum w:abstractNumId="8">
    <w:nsid w:val="FB2F39F7"/>
    <w:multiLevelType w:val="singleLevel"/>
    <w:tmpl w:val="FB2F39F7"/>
    <w:lvl w:ilvl="0" w:tentative="0">
      <w:start w:val="1"/>
      <w:numFmt w:val="decimal"/>
      <w:suff w:val="space"/>
      <w:lvlText w:val="%1."/>
      <w:lvlJc w:val="left"/>
      <w:pPr>
        <w:ind w:left="642" w:leftChars="0" w:firstLine="0" w:firstLineChars="0"/>
      </w:pPr>
    </w:lvl>
  </w:abstractNum>
  <w:abstractNum w:abstractNumId="9">
    <w:nsid w:val="03A5D783"/>
    <w:multiLevelType w:val="singleLevel"/>
    <w:tmpl w:val="03A5D783"/>
    <w:lvl w:ilvl="0" w:tentative="0">
      <w:start w:val="1"/>
      <w:numFmt w:val="decimal"/>
      <w:suff w:val="nothing"/>
      <w:lvlText w:val="%1、"/>
      <w:lvlJc w:val="left"/>
    </w:lvl>
  </w:abstractNum>
  <w:abstractNum w:abstractNumId="10">
    <w:nsid w:val="06A1EEC6"/>
    <w:multiLevelType w:val="singleLevel"/>
    <w:tmpl w:val="06A1EEC6"/>
    <w:lvl w:ilvl="0" w:tentative="0">
      <w:start w:val="2"/>
      <w:numFmt w:val="chineseCounting"/>
      <w:suff w:val="nothing"/>
      <w:lvlText w:val="（%1）"/>
      <w:lvlJc w:val="left"/>
      <w:rPr>
        <w:rFonts w:hint="eastAsia"/>
      </w:rPr>
    </w:lvl>
  </w:abstractNum>
  <w:abstractNum w:abstractNumId="11">
    <w:nsid w:val="26C26E18"/>
    <w:multiLevelType w:val="singleLevel"/>
    <w:tmpl w:val="26C26E18"/>
    <w:lvl w:ilvl="0" w:tentative="0">
      <w:start w:val="1"/>
      <w:numFmt w:val="decimal"/>
      <w:suff w:val="space"/>
      <w:lvlText w:val="（%1）"/>
      <w:lvlJc w:val="left"/>
    </w:lvl>
  </w:abstractNum>
  <w:abstractNum w:abstractNumId="12">
    <w:nsid w:val="2765A904"/>
    <w:multiLevelType w:val="singleLevel"/>
    <w:tmpl w:val="2765A904"/>
    <w:lvl w:ilvl="0" w:tentative="0">
      <w:start w:val="1"/>
      <w:numFmt w:val="decimal"/>
      <w:suff w:val="space"/>
      <w:lvlText w:val="%1."/>
      <w:lvlJc w:val="left"/>
      <w:pPr>
        <w:ind w:left="0"/>
      </w:pPr>
    </w:lvl>
  </w:abstractNum>
  <w:abstractNum w:abstractNumId="13">
    <w:nsid w:val="31253AA5"/>
    <w:multiLevelType w:val="singleLevel"/>
    <w:tmpl w:val="31253AA5"/>
    <w:lvl w:ilvl="0" w:tentative="0">
      <w:start w:val="1"/>
      <w:numFmt w:val="decimal"/>
      <w:suff w:val="nothing"/>
      <w:lvlText w:val="%1、"/>
      <w:lvlJc w:val="left"/>
    </w:lvl>
  </w:abstractNum>
  <w:abstractNum w:abstractNumId="14">
    <w:nsid w:val="4499822A"/>
    <w:multiLevelType w:val="singleLevel"/>
    <w:tmpl w:val="4499822A"/>
    <w:lvl w:ilvl="0" w:tentative="0">
      <w:start w:val="1"/>
      <w:numFmt w:val="decimal"/>
      <w:suff w:val="nothing"/>
      <w:lvlText w:val="%1、"/>
      <w:lvlJc w:val="left"/>
    </w:lvl>
  </w:abstractNum>
  <w:abstractNum w:abstractNumId="15">
    <w:nsid w:val="45CA2E42"/>
    <w:multiLevelType w:val="singleLevel"/>
    <w:tmpl w:val="45CA2E42"/>
    <w:lvl w:ilvl="0" w:tentative="0">
      <w:start w:val="1"/>
      <w:numFmt w:val="decimal"/>
      <w:suff w:val="space"/>
      <w:lvlText w:val="（%1）"/>
      <w:lvlJc w:val="left"/>
      <w:pPr>
        <w:ind w:left="630" w:firstLine="0"/>
      </w:pPr>
    </w:lvl>
  </w:abstractNum>
  <w:abstractNum w:abstractNumId="16">
    <w:nsid w:val="53DBC132"/>
    <w:multiLevelType w:val="singleLevel"/>
    <w:tmpl w:val="53DBC132"/>
    <w:lvl w:ilvl="0" w:tentative="0">
      <w:start w:val="1"/>
      <w:numFmt w:val="decimal"/>
      <w:suff w:val="space"/>
      <w:lvlText w:val="%1."/>
      <w:lvlJc w:val="left"/>
      <w:pPr>
        <w:ind w:left="0"/>
      </w:pPr>
    </w:lvl>
  </w:abstractNum>
  <w:abstractNum w:abstractNumId="17">
    <w:nsid w:val="7A78AB5B"/>
    <w:multiLevelType w:val="singleLevel"/>
    <w:tmpl w:val="7A78AB5B"/>
    <w:lvl w:ilvl="0" w:tentative="0">
      <w:start w:val="1"/>
      <w:numFmt w:val="decimal"/>
      <w:suff w:val="space"/>
      <w:lvlText w:val="（%1）"/>
      <w:lvlJc w:val="left"/>
    </w:lvl>
  </w:abstractNum>
  <w:abstractNum w:abstractNumId="18">
    <w:nsid w:val="7F0F38FE"/>
    <w:multiLevelType w:val="singleLevel"/>
    <w:tmpl w:val="7F0F38FE"/>
    <w:lvl w:ilvl="0" w:tentative="0">
      <w:start w:val="1"/>
      <w:numFmt w:val="decimal"/>
      <w:suff w:val="space"/>
      <w:lvlText w:val="（%1）"/>
      <w:lvlJc w:val="left"/>
    </w:lvl>
  </w:abstractNum>
  <w:num w:numId="1">
    <w:abstractNumId w:val="8"/>
  </w:num>
  <w:num w:numId="2">
    <w:abstractNumId w:val="18"/>
  </w:num>
  <w:num w:numId="3">
    <w:abstractNumId w:val="7"/>
  </w:num>
  <w:num w:numId="4">
    <w:abstractNumId w:val="10"/>
  </w:num>
  <w:num w:numId="5">
    <w:abstractNumId w:val="4"/>
  </w:num>
  <w:num w:numId="6">
    <w:abstractNumId w:val="13"/>
  </w:num>
  <w:num w:numId="7">
    <w:abstractNumId w:val="12"/>
  </w:num>
  <w:num w:numId="8">
    <w:abstractNumId w:val="16"/>
  </w:num>
  <w:num w:numId="9">
    <w:abstractNumId w:val="9"/>
  </w:num>
  <w:num w:numId="10">
    <w:abstractNumId w:val="6"/>
  </w:num>
  <w:num w:numId="11">
    <w:abstractNumId w:val="5"/>
  </w:num>
  <w:num w:numId="12">
    <w:abstractNumId w:val="14"/>
  </w:num>
  <w:num w:numId="13">
    <w:abstractNumId w:val="2"/>
  </w:num>
  <w:num w:numId="14">
    <w:abstractNumId w:val="17"/>
  </w:num>
  <w:num w:numId="15">
    <w:abstractNumId w:val="0"/>
  </w:num>
  <w:num w:numId="16">
    <w:abstractNumId w:val="11"/>
  </w:num>
  <w:num w:numId="17">
    <w:abstractNumId w:val="15"/>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TczZGNhNDA5MTFiNzJlMDgzY2U3YmU2YWFmZmQifQ=="/>
  </w:docVars>
  <w:rsids>
    <w:rsidRoot w:val="00000000"/>
    <w:rsid w:val="020A0AD8"/>
    <w:rsid w:val="099016BA"/>
    <w:rsid w:val="0C12657C"/>
    <w:rsid w:val="0C7E24FE"/>
    <w:rsid w:val="0F711E78"/>
    <w:rsid w:val="100C4AAB"/>
    <w:rsid w:val="1755078F"/>
    <w:rsid w:val="18DD17E7"/>
    <w:rsid w:val="1A8244C3"/>
    <w:rsid w:val="1B123826"/>
    <w:rsid w:val="1D484D3D"/>
    <w:rsid w:val="1DB7DFCA"/>
    <w:rsid w:val="1E232FB0"/>
    <w:rsid w:val="1E7C52BC"/>
    <w:rsid w:val="206C2A30"/>
    <w:rsid w:val="21BF42AC"/>
    <w:rsid w:val="21F950E5"/>
    <w:rsid w:val="24087534"/>
    <w:rsid w:val="24C06D8A"/>
    <w:rsid w:val="26C73A5D"/>
    <w:rsid w:val="26CA49C0"/>
    <w:rsid w:val="27662844"/>
    <w:rsid w:val="27BA45FC"/>
    <w:rsid w:val="28E30421"/>
    <w:rsid w:val="293C3746"/>
    <w:rsid w:val="29526705"/>
    <w:rsid w:val="2EB9675B"/>
    <w:rsid w:val="2EDFA75C"/>
    <w:rsid w:val="318F6746"/>
    <w:rsid w:val="341515F4"/>
    <w:rsid w:val="356F311B"/>
    <w:rsid w:val="36D06057"/>
    <w:rsid w:val="36EB773C"/>
    <w:rsid w:val="386535E9"/>
    <w:rsid w:val="39AB4187"/>
    <w:rsid w:val="39F35460"/>
    <w:rsid w:val="3A5208D9"/>
    <w:rsid w:val="3A9934B1"/>
    <w:rsid w:val="3ECC6957"/>
    <w:rsid w:val="41190371"/>
    <w:rsid w:val="415D3E87"/>
    <w:rsid w:val="418D3A85"/>
    <w:rsid w:val="41CC2A83"/>
    <w:rsid w:val="42812B7F"/>
    <w:rsid w:val="47BE76DE"/>
    <w:rsid w:val="4AFD59B4"/>
    <w:rsid w:val="4BBF1FF1"/>
    <w:rsid w:val="4E0703B0"/>
    <w:rsid w:val="4EE142FF"/>
    <w:rsid w:val="4EF83C6D"/>
    <w:rsid w:val="4FBA24A4"/>
    <w:rsid w:val="4FCE01D9"/>
    <w:rsid w:val="516C4D45"/>
    <w:rsid w:val="55A40749"/>
    <w:rsid w:val="56AA3040"/>
    <w:rsid w:val="5A0A63F0"/>
    <w:rsid w:val="5B9F4FE5"/>
    <w:rsid w:val="5D0E1B62"/>
    <w:rsid w:val="5E377138"/>
    <w:rsid w:val="5E4548E9"/>
    <w:rsid w:val="5E917F75"/>
    <w:rsid w:val="5ED8702A"/>
    <w:rsid w:val="5F7F6844"/>
    <w:rsid w:val="610B63BF"/>
    <w:rsid w:val="611759A9"/>
    <w:rsid w:val="61357BDD"/>
    <w:rsid w:val="615C785F"/>
    <w:rsid w:val="63D400F2"/>
    <w:rsid w:val="64D3557E"/>
    <w:rsid w:val="652B6AF6"/>
    <w:rsid w:val="67A42174"/>
    <w:rsid w:val="6A994B0A"/>
    <w:rsid w:val="6FEBE6B1"/>
    <w:rsid w:val="6FFEED90"/>
    <w:rsid w:val="701D6C3E"/>
    <w:rsid w:val="76F8F3E0"/>
    <w:rsid w:val="775FE72F"/>
    <w:rsid w:val="77F2B705"/>
    <w:rsid w:val="7B6EC8E4"/>
    <w:rsid w:val="7BFFF299"/>
    <w:rsid w:val="7D146860"/>
    <w:rsid w:val="7D546EA3"/>
    <w:rsid w:val="7ECF699A"/>
    <w:rsid w:val="7FBF7F42"/>
    <w:rsid w:val="7FD139EC"/>
    <w:rsid w:val="AABF7F98"/>
    <w:rsid w:val="CF8B70E0"/>
    <w:rsid w:val="D7F74DA0"/>
    <w:rsid w:val="DFBF2EDA"/>
    <w:rsid w:val="DFFFAD2A"/>
    <w:rsid w:val="DFFFF89B"/>
    <w:rsid w:val="F3DF99C7"/>
    <w:rsid w:val="F4ACEF93"/>
    <w:rsid w:val="F84D1AD8"/>
    <w:rsid w:val="FE7F097F"/>
    <w:rsid w:val="FFAEC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w:qFormat/>
    <w:uiPriority w:val="0"/>
    <w:pPr>
      <w:widowControl w:val="0"/>
      <w:spacing w:line="360" w:lineRule="auto"/>
      <w:ind w:firstLine="480" w:firstLineChars="200"/>
      <w:jc w:val="both"/>
    </w:pPr>
    <w:rPr>
      <w:rFonts w:ascii="仿宋_GB2312" w:hAnsi="仿宋_GB2312" w:eastAsia="仿宋_GB2312" w:cs="仿宋_GB2312"/>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font21"/>
    <w:basedOn w:val="6"/>
    <w:qFormat/>
    <w:uiPriority w:val="0"/>
    <w:rPr>
      <w:rFonts w:hint="eastAsia" w:ascii="宋体" w:hAnsi="宋体" w:eastAsia="宋体" w:cs="宋体"/>
      <w:color w:val="000000"/>
      <w:sz w:val="18"/>
      <w:szCs w:val="18"/>
      <w:u w:val="none"/>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 w:type="paragraph" w:customStyle="1" w:styleId="11">
    <w:name w:val="WPSOffice手动目录 2"/>
    <w:qFormat/>
    <w:uiPriority w:val="0"/>
    <w:pPr>
      <w:ind w:leftChars="200"/>
    </w:pPr>
    <w:rPr>
      <w:rFonts w:ascii="Times New Roman" w:hAnsi="Times New Roman" w:eastAsia="宋体" w:cs="Times New Roman"/>
      <w:sz w:val="20"/>
      <w:szCs w:val="20"/>
    </w:rPr>
  </w:style>
  <w:style w:type="paragraph" w:customStyle="1" w:styleId="12">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11206</Words>
  <Characters>12123</Characters>
  <Lines>0</Lines>
  <Paragraphs>0</Paragraphs>
  <TotalTime>13</TotalTime>
  <ScaleCrop>false</ScaleCrop>
  <LinksUpToDate>false</LinksUpToDate>
  <CharactersWithSpaces>12283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2023-06-23T11:33:00Z</dcterms:created>
  <dc:creator>User</dc:creator>
  <cp:lastModifiedBy>yzzd</cp:lastModifiedBy>
  <dcterms:modified xsi:type="dcterms:W3CDTF">2023-07-24T07:50:22Z</dcterms:modified>
  <dc:title>2022年度部门整体支出绩效自评报告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132A931DF5784F5DBA14316DBFE6CA25</vt:lpwstr>
  </property>
</Properties>
</file>